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Πρότυπο εκπαιδευτικών δραστηριοτήτων</w:t>
      </w:r>
      <w:r w:rsidDel="00000000" w:rsidR="00000000" w:rsidRPr="00000000">
        <w:rPr>
          <w:rtl w:val="0"/>
        </w:rPr>
      </w:r>
    </w:p>
    <w:tbl>
      <w:tblPr>
        <w:tblStyle w:val="Table1"/>
        <w:tblW w:w="910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01"/>
        <w:tblGridChange w:id="0">
          <w:tblGrid>
            <w:gridCol w:w="9101"/>
          </w:tblGrid>
        </w:tblGridChange>
      </w:tblGrid>
      <w:tr>
        <w:trPr>
          <w:cantSplit w:val="0"/>
          <w:trHeight w:val="9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Παρακαλούμε συμπληρώστε το παρακάτω έντυπο με λεπτομέρειες σχετικά με τη μαθησιακή δραστηριότητα που θα θέλατε να υποβάλλετε στον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κατάλογο εργαλείων ΤΠΕ και ανοικτών εκπαιδευτικών πόρων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</w:t>
            </w: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www.ecml.at/ict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). Η συνεισφορά σας θα εξεταστεί προσεκτικά από την ομάδα ICT-REV και, εφόσον εγκριθεί, θα δημοσιευτεί στον ιστότοπό μας.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Τίτλος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Δημιουργήθηκε από (αναφέρετε το πλήρες όνομα (τα πλήρη ονόματα))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Ηλεκτρονικό ταχυδρομείο επικοινωνίας (αυτό ισχύει μόνο αν χρειαστεί να επικοινωνήσουμε μαζί σας. Δεν θα δημοσιευτεί στον δικτυακό τόπο):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Σύντομη περιγραφή (40 λέξεις):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Γλώσσα(ες) για την οποία έχει σχεδιαστεί η δραστηριότητα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Ηλικιακή ομάδα (Επιλέξτε όλα όσα ισχύουν):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0-5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6-10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11-18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19-25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26-64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65+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Επίπεδο (Επιλέξτε όλα όσα ισχύουν):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A1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A2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B1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B2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Γ1</w:t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Εκπαιδευτικά αποτελέσματα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κ.λπ.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Δεξιότητες (Επιλέξτε όλα όσα ισχύουν)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Ακουστική κατανόηση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Παραγωγή προφορικού λόγου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Κατανόηση γραπτού λόγου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Παραγωγή γραπτού λόγου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Αλληλεπίδραση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Λεξιλόγιο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Γραμματική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Διαμεσολάβηση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Προφορά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Διαπολιτισμικά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Πολυγλωσσία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Εργαλεία ΤΠΕ που χρησιμοποιούνται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Διάρκεια σε λεπτά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15-30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30-60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60-90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90-120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120+</w:t>
      </w:r>
    </w:p>
    <w:p w:rsidR="00000000" w:rsidDel="00000000" w:rsidP="00000000" w:rsidRDefault="00000000" w:rsidRPr="00000000" w14:paraId="0000003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Θα βαθμολογηθούν οι μαθητές? 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Ναι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Όχι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Χρονοδιάγραμμα (π.χ., σε πόσα μαθήματα; Σε ποιο σημείο του ακαδημαϊκού έτους; κ.λπ.):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Περιγραφή κάθε σταδίου της δραστηριότητας: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Πιθανές προκλήσεις/προβλήματα: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Ναι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Όχι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Προτάσεις για την αξιολόγηση των μαθητών/αυτοαξιολόγηση/ ανατροφοδότηση από ομότιμους: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Μετα-αξιολόγηση της δραστηριότητας (π.χ.,   αφού την εκτελέσετε, πώς θα εκτιμήσετε αν ήταν επιτυχής; Πώς θα λάβετε ανατροφοδότηση από τους μαθητές; κ.λπ):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Προσωπικά σχόλια από τους συγγραφείς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Χορηγώ/χορηγούμε στο ΕΜΠ την άδεια να εφαρμόσει την παρακάτω άδεια Creative Commons στη μαθησιακή μου/μας δραστηριότητα. (Αυτό απαιτείται για τη δημοσίευση.):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Ναι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Όχι</w:t>
      </w:r>
    </w:p>
    <w:p w:rsidR="00000000" w:rsidDel="00000000" w:rsidP="00000000" w:rsidRDefault="00000000" w:rsidRPr="00000000" w14:paraId="00000051">
      <w:pPr>
        <w:rPr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1155cc"/>
          <w:sz w:val="26"/>
          <w:szCs w:val="26"/>
          <w:u w:val="single"/>
        </w:rPr>
      </w:pPr>
      <w:hyperlink r:id="rId7">
        <w:r w:rsidDel="00000000" w:rsidR="00000000" w:rsidRPr="00000000">
          <w:rPr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2271713" cy="796270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Αναφορά: Πρωτότυπη δραστηριότητα από το «Use of ICT in support of language teaching and learning (ICT-REV)», Ευρωπαϊκό Κέντρο Σύγχρονων Γλωσσών του Συμβουλίου της Ευρώπης.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www.ecml.at/ictrev</w:t>
        </w:r>
      </w:hyperlink>
      <w:r w:rsidDel="00000000" w:rsidR="00000000" w:rsidRPr="00000000">
        <w:rPr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tabs>
        <w:tab w:val="center" w:leader="none" w:pos="4680"/>
        <w:tab w:val="right" w:leader="none" w:pos="9360"/>
      </w:tabs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tabs>
        <w:tab w:val="center" w:leader="none" w:pos="4680"/>
        <w:tab w:val="right" w:leader="none" w:pos="9360"/>
      </w:tabs>
      <w:spacing w:line="240" w:lineRule="auto"/>
      <w:ind w:left="568" w:hanging="284"/>
      <w:jc w:val="right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632702" cy="686046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5" w:tblpY="0"/>
      <w:tblW w:w="9642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4821"/>
      <w:gridCol w:w="4821"/>
      <w:tblGridChange w:id="0">
        <w:tblGrid>
          <w:gridCol w:w="4821"/>
          <w:gridCol w:w="4821"/>
        </w:tblGrid>
      </w:tblGridChange>
    </w:tblGrid>
    <w:tr>
      <w:trPr>
        <w:cantSplit w:val="0"/>
        <w:trHeight w:val="1150" w:hRule="atLeast"/>
        <w:tblHeader w:val="0"/>
      </w:trPr>
      <w:tc>
        <w:tcPr>
          <w:tcBorders>
            <w:right w:color="ffffff" w:space="0" w:sz="8" w:val="single"/>
          </w:tcBorders>
        </w:tcPr>
        <w:p w:rsidR="00000000" w:rsidDel="00000000" w:rsidP="00000000" w:rsidRDefault="00000000" w:rsidRPr="00000000" w14:paraId="00000058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b="0" l="0" r="0" t="0"/>
                <wp:wrapTopAndBottom distB="0" distT="0"/>
                <wp:docPr descr="logo_ict-rev-online2.png" id="1" name="image2.png"/>
                <a:graphic>
                  <a:graphicData uri="http://schemas.openxmlformats.org/drawingml/2006/picture">
                    <pic:pic>
                      <pic:nvPicPr>
                        <pic:cNvPr descr="logo_ict-rev-online2.png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59">
          <w:pPr>
            <w:pStyle w:val="Heading1"/>
            <w:keepNext w:val="0"/>
            <w:keepLines w:val="0"/>
            <w:spacing w:after="0" w:before="120" w:line="240" w:lineRule="auto"/>
            <w:ind w:left="-108" w:firstLine="0"/>
            <w:rPr/>
          </w:pPr>
          <w:bookmarkStart w:colFirst="0" w:colLast="0" w:name="_30j0zll" w:id="1"/>
          <w:bookmarkEnd w:id="1"/>
          <w:r w:rsidDel="00000000" w:rsidR="00000000" w:rsidRPr="00000000">
            <w:rPr>
              <w:rFonts w:ascii="Calibri" w:cs="Calibri" w:eastAsia="Calibri" w:hAnsi="Calibri"/>
              <w:b w:val="1"/>
              <w:sz w:val="32"/>
              <w:szCs w:val="32"/>
              <w:rtl w:val="0"/>
            </w:rPr>
            <w:t xml:space="preserve">Η χρήση των ΤΠΕ για την υποστήριξη της διδασκαλίας και της εκμάθησης γλωσσών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cml.at/ictrev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yperlink" Target="http://www.ecml.at/ict" TargetMode="External"/><Relationship Id="rId7" Type="http://schemas.openxmlformats.org/officeDocument/2006/relationships/hyperlink" Target="https://creativecommons.org/licenses/by-nc-sa/4.0/" TargetMode="External"/><Relationship Id="rId8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