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0F6A" w14:textId="77777777" w:rsidR="00341119" w:rsidRPr="00702C3D" w:rsidRDefault="00341119" w:rsidP="00341119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702C3D">
        <w:rPr>
          <w:rFonts w:ascii="Century Gothic" w:hAnsi="Century Gothic"/>
          <w:b/>
          <w:bCs/>
          <w:sz w:val="40"/>
          <w:szCs w:val="40"/>
        </w:rPr>
        <w:t xml:space="preserve">Prise de conscience de et réflexion sur les profils plurilingues et multiculturels </w:t>
      </w:r>
    </w:p>
    <w:p w14:paraId="00CE3056" w14:textId="77777777" w:rsidR="00341119" w:rsidRDefault="00341119" w:rsidP="006E1AF8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5DBB2D84" w14:textId="104D4EA1" w:rsidR="006E1AF8" w:rsidRDefault="00702C3D" w:rsidP="006E1AF8">
      <w:pPr>
        <w:jc w:val="center"/>
        <w:rPr>
          <w:rFonts w:ascii="Century Gothic" w:hAnsi="Century Gothic" w:cstheme="minorHAnsi"/>
          <w:lang w:val="fr-FR"/>
        </w:rPr>
      </w:pPr>
      <w:r>
        <w:rPr>
          <w:rFonts w:ascii="Century Gothic" w:hAnsi="Century Gothic" w:cstheme="minorHAnsi"/>
          <w:noProof/>
          <w:lang w:val="fr-FR"/>
        </w:rPr>
        <w:drawing>
          <wp:anchor distT="0" distB="0" distL="114300" distR="114300" simplePos="0" relativeHeight="251666432" behindDoc="1" locked="0" layoutInCell="1" allowOverlap="1" wp14:anchorId="13C08DC0" wp14:editId="58A993FE">
            <wp:simplePos x="0" y="0"/>
            <wp:positionH relativeFrom="margin">
              <wp:posOffset>710950</wp:posOffset>
            </wp:positionH>
            <wp:positionV relativeFrom="margin">
              <wp:posOffset>950009</wp:posOffset>
            </wp:positionV>
            <wp:extent cx="367030" cy="350252"/>
            <wp:effectExtent l="0" t="0" r="1270" b="0"/>
            <wp:wrapNone/>
            <wp:docPr id="569436576" name="Grafik 569436576" descr="Lehr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83464" name="Grafik 1354283464" descr="Lehrer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AF8">
        <w:rPr>
          <w:rFonts w:ascii="Century Gothic" w:hAnsi="Century Gothic" w:cstheme="minorHAnsi"/>
          <w:noProof/>
          <w:lang w:val="fr-FR"/>
        </w:rPr>
        <w:drawing>
          <wp:anchor distT="0" distB="0" distL="114300" distR="114300" simplePos="0" relativeHeight="251664384" behindDoc="0" locked="0" layoutInCell="1" allowOverlap="1" wp14:anchorId="270D45B5" wp14:editId="09140927">
            <wp:simplePos x="0" y="0"/>
            <wp:positionH relativeFrom="margin">
              <wp:posOffset>1146175</wp:posOffset>
            </wp:positionH>
            <wp:positionV relativeFrom="margin">
              <wp:posOffset>933327</wp:posOffset>
            </wp:positionV>
            <wp:extent cx="351790" cy="351790"/>
            <wp:effectExtent l="0" t="0" r="3810" b="3810"/>
            <wp:wrapNone/>
            <wp:docPr id="2115922612" name="Grafik 2115922612" descr="Besprechun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98098" name="Grafik 1300498098" descr="Besprechung Silhouet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AF8">
        <w:rPr>
          <w:rFonts w:ascii="Century Gothic" w:hAnsi="Century Gothic" w:cstheme="minorHAnsi"/>
          <w:lang w:val="fr-FR"/>
        </w:rPr>
        <w:t>D</w:t>
      </w:r>
      <w:r w:rsidR="006E1AF8" w:rsidRPr="00120BDC">
        <w:rPr>
          <w:rFonts w:ascii="Century Gothic" w:hAnsi="Century Gothic" w:cstheme="minorHAnsi"/>
          <w:lang w:val="fr-FR"/>
        </w:rPr>
        <w:t xml:space="preserve">ocuments </w:t>
      </w:r>
      <w:r w:rsidR="006E1AF8" w:rsidRPr="0073708A">
        <w:rPr>
          <w:rFonts w:ascii="Century Gothic" w:hAnsi="Century Gothic" w:cstheme="minorHAnsi"/>
          <w:lang w:val="fr-FR"/>
        </w:rPr>
        <w:t xml:space="preserve">pour </w:t>
      </w:r>
      <w:proofErr w:type="gramStart"/>
      <w:r w:rsidR="006E1AF8" w:rsidRPr="0073708A">
        <w:rPr>
          <w:rFonts w:ascii="Century Gothic" w:hAnsi="Century Gothic" w:cstheme="minorHAnsi"/>
          <w:lang w:val="fr-FR"/>
        </w:rPr>
        <w:t>les participant</w:t>
      </w:r>
      <w:proofErr w:type="gramEnd"/>
      <w:r w:rsidR="006E1AF8" w:rsidRPr="0073708A">
        <w:rPr>
          <w:rFonts w:ascii="Century Gothic" w:hAnsi="Century Gothic" w:cstheme="minorHAnsi"/>
          <w:lang w:val="fr-FR"/>
        </w:rPr>
        <w:t>·</w:t>
      </w:r>
      <w:r w:rsidR="006E1AF8">
        <w:rPr>
          <w:rFonts w:ascii="Century Gothic" w:hAnsi="Century Gothic" w:cstheme="minorHAnsi"/>
          <w:lang w:val="fr-FR"/>
        </w:rPr>
        <w:t xml:space="preserve"> </w:t>
      </w:r>
      <w:r w:rsidR="006E1AF8" w:rsidRPr="0073708A">
        <w:rPr>
          <w:rFonts w:ascii="Century Gothic" w:hAnsi="Century Gothic" w:cstheme="minorHAnsi"/>
          <w:lang w:val="fr-FR"/>
        </w:rPr>
        <w:t>es</w:t>
      </w:r>
    </w:p>
    <w:p w14:paraId="420BD002" w14:textId="70125779" w:rsidR="005C6014" w:rsidRDefault="005C6014" w:rsidP="00C0518C">
      <w:pPr>
        <w:rPr>
          <w:i/>
          <w:iCs/>
          <w:sz w:val="22"/>
          <w:szCs w:val="22"/>
          <w:lang w:val="fr-FR"/>
        </w:rPr>
      </w:pPr>
    </w:p>
    <w:p w14:paraId="2B4D5D00" w14:textId="77777777" w:rsidR="00930BC8" w:rsidRDefault="00930BC8" w:rsidP="007A6154">
      <w:pPr>
        <w:jc w:val="center"/>
        <w:rPr>
          <w:i/>
          <w:iCs/>
          <w:sz w:val="22"/>
          <w:szCs w:val="22"/>
          <w:lang w:val="fr-FR"/>
        </w:rPr>
      </w:pPr>
    </w:p>
    <w:p w14:paraId="07AF3BFE" w14:textId="2853A0D2" w:rsidR="00F4070A" w:rsidRDefault="00F4070A" w:rsidP="007A6154">
      <w:pPr>
        <w:jc w:val="center"/>
        <w:rPr>
          <w:b/>
          <w:bCs/>
          <w:sz w:val="22"/>
          <w:szCs w:val="22"/>
        </w:rPr>
      </w:pPr>
      <w:r w:rsidRPr="00C0518C">
        <w:rPr>
          <w:i/>
          <w:iCs/>
          <w:sz w:val="22"/>
          <w:szCs w:val="22"/>
          <w:lang w:val="fr-FR"/>
        </w:rPr>
        <w:t xml:space="preserve">Séquence développée par Doris </w:t>
      </w:r>
      <w:proofErr w:type="spellStart"/>
      <w:r w:rsidRPr="00C0518C">
        <w:rPr>
          <w:i/>
          <w:iCs/>
          <w:sz w:val="22"/>
          <w:szCs w:val="22"/>
          <w:lang w:val="fr-FR"/>
        </w:rPr>
        <w:t>Abitzsch</w:t>
      </w:r>
      <w:proofErr w:type="spellEnd"/>
      <w:r w:rsidRPr="00C0518C">
        <w:rPr>
          <w:i/>
          <w:iCs/>
          <w:sz w:val="22"/>
          <w:szCs w:val="22"/>
          <w:lang w:val="fr-FR"/>
        </w:rPr>
        <w:t xml:space="preserve">, Elisabeth </w:t>
      </w:r>
      <w:proofErr w:type="spellStart"/>
      <w:r w:rsidRPr="00C0518C">
        <w:rPr>
          <w:i/>
          <w:iCs/>
          <w:sz w:val="22"/>
          <w:szCs w:val="22"/>
          <w:lang w:val="fr-FR"/>
        </w:rPr>
        <w:t>Allgäuer-Hackl</w:t>
      </w:r>
      <w:proofErr w:type="spellEnd"/>
      <w:r w:rsidRPr="00C0518C">
        <w:rPr>
          <w:i/>
          <w:iCs/>
          <w:sz w:val="22"/>
          <w:szCs w:val="22"/>
          <w:lang w:val="fr-FR"/>
        </w:rPr>
        <w:t xml:space="preserve"> et Alema Fazlic.</w:t>
      </w:r>
    </w:p>
    <w:p w14:paraId="4A797892" w14:textId="77777777" w:rsidR="00F4070A" w:rsidRPr="007A6154" w:rsidRDefault="00F4070A" w:rsidP="00C0518C">
      <w:pPr>
        <w:rPr>
          <w:i/>
          <w:iCs/>
          <w:sz w:val="22"/>
          <w:szCs w:val="22"/>
        </w:rPr>
      </w:pPr>
    </w:p>
    <w:p w14:paraId="5F25A698" w14:textId="79C81158" w:rsidR="008746DD" w:rsidRPr="00702C3D" w:rsidRDefault="008746DD" w:rsidP="008746DD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27501B7" w14:textId="32DFD189" w:rsidR="008746DD" w:rsidRPr="00702C3D" w:rsidRDefault="008746DD" w:rsidP="008746DD">
      <w:pPr>
        <w:rPr>
          <w:rFonts w:ascii="Century Gothic" w:hAnsi="Century Gothic"/>
          <w:b/>
          <w:bCs/>
          <w:sz w:val="28"/>
          <w:szCs w:val="28"/>
        </w:rPr>
      </w:pPr>
      <w:r w:rsidRPr="00702C3D">
        <w:rPr>
          <w:rFonts w:ascii="Century Gothic" w:hAnsi="Century Gothic"/>
          <w:b/>
          <w:bCs/>
          <w:sz w:val="28"/>
          <w:szCs w:val="28"/>
        </w:rPr>
        <w:t>Introduction</w:t>
      </w:r>
    </w:p>
    <w:p w14:paraId="0B3EBC39" w14:textId="6D5DBBFE" w:rsidR="007B6B0C" w:rsidRPr="00A21474" w:rsidRDefault="007B6B0C" w:rsidP="008746DD">
      <w:pPr>
        <w:rPr>
          <w:sz w:val="22"/>
          <w:szCs w:val="22"/>
        </w:rPr>
      </w:pPr>
    </w:p>
    <w:p w14:paraId="1DCFA3EC" w14:textId="4D528B5A" w:rsidR="008746DD" w:rsidRPr="00A21474" w:rsidRDefault="008746DD" w:rsidP="00FB5300">
      <w:pPr>
        <w:jc w:val="both"/>
        <w:rPr>
          <w:sz w:val="22"/>
          <w:szCs w:val="22"/>
        </w:rPr>
      </w:pPr>
      <w:r w:rsidRPr="00A21474">
        <w:rPr>
          <w:sz w:val="22"/>
          <w:szCs w:val="22"/>
        </w:rPr>
        <w:t>Cette séquence est conçue pour des enseignant·es de toutes matières, qu’ils soient en formation ou en fonction, avec des instructions spécifiques pour les (futur·es) enseignant·es de langues.</w:t>
      </w:r>
    </w:p>
    <w:p w14:paraId="41D0516D" w14:textId="373D029D" w:rsidR="008746DD" w:rsidRPr="00A21474" w:rsidRDefault="008746DD" w:rsidP="00FB5300">
      <w:pPr>
        <w:jc w:val="both"/>
        <w:rPr>
          <w:sz w:val="22"/>
          <w:szCs w:val="22"/>
        </w:rPr>
      </w:pPr>
      <w:r w:rsidRPr="00A21474">
        <w:rPr>
          <w:sz w:val="22"/>
          <w:szCs w:val="22"/>
        </w:rPr>
        <w:t xml:space="preserve">Un principe de base dans tous les contextes éducatifs (y compris la formation des enseignant·es) est que les connaissances antérieures et les nouvelles connaissances doivent être liées à tous les niveaux (formateurs et formatrices d'enseignant·es, enseignant·es, </w:t>
      </w:r>
      <w:r w:rsidR="001E07B5" w:rsidRPr="00A21474">
        <w:rPr>
          <w:sz w:val="22"/>
          <w:szCs w:val="22"/>
        </w:rPr>
        <w:t>appren</w:t>
      </w:r>
      <w:r w:rsidRPr="00A21474">
        <w:rPr>
          <w:sz w:val="22"/>
          <w:szCs w:val="22"/>
        </w:rPr>
        <w:t xml:space="preserve">ant·es). Par conséquent, les connaissances et l'expérience existantes que les enseignant·es en formation et les </w:t>
      </w:r>
      <w:r w:rsidR="00A958D7" w:rsidRPr="00A21474">
        <w:rPr>
          <w:sz w:val="22"/>
          <w:szCs w:val="22"/>
        </w:rPr>
        <w:t>apprenant·es</w:t>
      </w:r>
      <w:r w:rsidRPr="00A21474">
        <w:rPr>
          <w:sz w:val="22"/>
          <w:szCs w:val="22"/>
        </w:rPr>
        <w:t xml:space="preserve"> apportent avec eux dans la classe doivent être rendues explicites dans cette séquence.  </w:t>
      </w:r>
    </w:p>
    <w:p w14:paraId="6FD0A161" w14:textId="10DE909C" w:rsidR="008746DD" w:rsidRPr="00A21474" w:rsidRDefault="008746DD" w:rsidP="00FB5300">
      <w:pPr>
        <w:jc w:val="both"/>
        <w:rPr>
          <w:sz w:val="22"/>
          <w:szCs w:val="22"/>
        </w:rPr>
      </w:pPr>
    </w:p>
    <w:p w14:paraId="31CBFDD3" w14:textId="08A34AAB" w:rsidR="008746DD" w:rsidRPr="00A21474" w:rsidRDefault="008746DD" w:rsidP="008746DD">
      <w:pPr>
        <w:rPr>
          <w:sz w:val="22"/>
          <w:szCs w:val="22"/>
        </w:rPr>
      </w:pPr>
    </w:p>
    <w:p w14:paraId="79D55D98" w14:textId="7F720AF1" w:rsidR="008746DD" w:rsidRPr="00702C3D" w:rsidRDefault="008746DD" w:rsidP="008746DD">
      <w:pPr>
        <w:rPr>
          <w:rFonts w:ascii="Century Gothic" w:hAnsi="Century Gothic"/>
          <w:b/>
          <w:bCs/>
          <w:sz w:val="28"/>
          <w:szCs w:val="28"/>
        </w:rPr>
      </w:pPr>
      <w:r w:rsidRPr="00702C3D">
        <w:rPr>
          <w:rFonts w:ascii="Century Gothic" w:hAnsi="Century Gothic"/>
          <w:b/>
          <w:bCs/>
          <w:sz w:val="28"/>
          <w:szCs w:val="28"/>
        </w:rPr>
        <w:t>Tâches</w:t>
      </w:r>
    </w:p>
    <w:p w14:paraId="0974772D" w14:textId="38F34731" w:rsidR="008746DD" w:rsidRPr="00A21474" w:rsidRDefault="008746DD" w:rsidP="008746DD">
      <w:pPr>
        <w:rPr>
          <w:b/>
          <w:bCs/>
          <w:sz w:val="22"/>
          <w:szCs w:val="22"/>
        </w:rPr>
      </w:pPr>
    </w:p>
    <w:p w14:paraId="540C9CA3" w14:textId="1A2A50A9" w:rsidR="008746DD" w:rsidRPr="00A21474" w:rsidRDefault="008746DD" w:rsidP="00FB5300">
      <w:pPr>
        <w:autoSpaceDE w:val="0"/>
        <w:autoSpaceDN w:val="0"/>
        <w:adjustRightInd w:val="0"/>
        <w:rPr>
          <w:sz w:val="22"/>
          <w:szCs w:val="22"/>
        </w:rPr>
      </w:pPr>
      <w:r w:rsidRPr="00702C3D">
        <w:rPr>
          <w:rFonts w:ascii="Century Gothic" w:hAnsi="Century Gothic"/>
          <w:b/>
          <w:bCs/>
          <w:u w:val="single"/>
          <w:lang w:val="fr-FR"/>
        </w:rPr>
        <w:t>Tâche 1</w:t>
      </w:r>
      <w:r w:rsidRPr="00A21474">
        <w:rPr>
          <w:b/>
          <w:bCs/>
          <w:sz w:val="22"/>
          <w:szCs w:val="22"/>
          <w:u w:val="single"/>
          <w:lang w:val="fr-FR"/>
        </w:rPr>
        <w:br/>
      </w:r>
      <w:r w:rsidRPr="00A21474">
        <w:rPr>
          <w:sz w:val="22"/>
          <w:szCs w:val="22"/>
          <w:lang w:val="fr-FR"/>
        </w:rPr>
        <w:t xml:space="preserve">Lisez les chapitres suivants et prenez des notes en fonction de vos </w:t>
      </w:r>
      <w:proofErr w:type="gramStart"/>
      <w:r w:rsidRPr="00A21474">
        <w:rPr>
          <w:sz w:val="22"/>
          <w:szCs w:val="22"/>
          <w:lang w:val="fr-FR"/>
        </w:rPr>
        <w:t>besoins:</w:t>
      </w:r>
      <w:proofErr w:type="gramEnd"/>
      <w:r w:rsidRPr="00A21474">
        <w:rPr>
          <w:sz w:val="22"/>
          <w:szCs w:val="22"/>
        </w:rPr>
        <w:t xml:space="preserve"> </w:t>
      </w:r>
    </w:p>
    <w:p w14:paraId="02E20843" w14:textId="77777777" w:rsidR="008746DD" w:rsidRPr="00A21474" w:rsidRDefault="008746DD" w:rsidP="00FB5300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474">
        <w:rPr>
          <w:sz w:val="22"/>
          <w:szCs w:val="22"/>
        </w:rPr>
        <w:t>Finalités et valeurs de l’éducation plurilingue et interculturelle (p. 15 et suivantes</w:t>
      </w:r>
      <w:proofErr w:type="gramStart"/>
      <w:r w:rsidRPr="00A21474">
        <w:rPr>
          <w:sz w:val="22"/>
          <w:szCs w:val="22"/>
        </w:rPr>
        <w:t>);</w:t>
      </w:r>
      <w:proofErr w:type="gramEnd"/>
      <w:r w:rsidRPr="00A21474">
        <w:rPr>
          <w:sz w:val="22"/>
          <w:szCs w:val="22"/>
        </w:rPr>
        <w:t xml:space="preserve"> </w:t>
      </w:r>
    </w:p>
    <w:p w14:paraId="3463AD29" w14:textId="2D9AE2A3" w:rsidR="008746DD" w:rsidRPr="00A21474" w:rsidRDefault="008746DD" w:rsidP="00FB5300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21474">
        <w:rPr>
          <w:sz w:val="22"/>
          <w:szCs w:val="22"/>
        </w:rPr>
        <w:t>Quelques concepts clés d’une éducation plurilingue et interculturelle (p.</w:t>
      </w:r>
      <w:r w:rsidR="00FB5300" w:rsidRPr="00A21474">
        <w:rPr>
          <w:sz w:val="22"/>
          <w:szCs w:val="22"/>
        </w:rPr>
        <w:t xml:space="preserve"> </w:t>
      </w:r>
      <w:r w:rsidRPr="00A21474">
        <w:rPr>
          <w:sz w:val="22"/>
          <w:szCs w:val="22"/>
        </w:rPr>
        <w:t xml:space="preserve">20-23) </w:t>
      </w:r>
    </w:p>
    <w:p w14:paraId="6EF6C7EC" w14:textId="5045F03F" w:rsidR="008746DD" w:rsidRPr="00A21474" w:rsidRDefault="008746DD" w:rsidP="00FB53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474">
        <w:rPr>
          <w:sz w:val="22"/>
          <w:szCs w:val="22"/>
          <w:lang w:val="it-IT"/>
        </w:rPr>
        <w:t>in Beacco J.-M.</w:t>
      </w:r>
      <w:r w:rsidR="00FB5300" w:rsidRPr="00A21474">
        <w:rPr>
          <w:sz w:val="22"/>
          <w:szCs w:val="22"/>
          <w:lang w:val="it-IT"/>
        </w:rPr>
        <w:t xml:space="preserve"> et al., </w:t>
      </w:r>
      <w:r w:rsidRPr="00A21474">
        <w:rPr>
          <w:i/>
          <w:iCs/>
          <w:sz w:val="22"/>
          <w:szCs w:val="22"/>
        </w:rPr>
        <w:t xml:space="preserve">Guide pour le développement et la mise en œuvre de curriculums pour une éducation plurilingue et </w:t>
      </w:r>
      <w:r w:rsidR="00FB5300" w:rsidRPr="00A21474">
        <w:rPr>
          <w:i/>
          <w:iCs/>
          <w:sz w:val="22"/>
          <w:szCs w:val="22"/>
        </w:rPr>
        <w:t xml:space="preserve">interculturelle, </w:t>
      </w:r>
      <w:r w:rsidR="00FB5300" w:rsidRPr="00A21474">
        <w:rPr>
          <w:sz w:val="22"/>
          <w:szCs w:val="22"/>
        </w:rPr>
        <w:t>Conseil</w:t>
      </w:r>
      <w:r w:rsidRPr="00A21474">
        <w:rPr>
          <w:sz w:val="22"/>
          <w:szCs w:val="22"/>
        </w:rPr>
        <w:t xml:space="preserve"> de l’Europe, Strasbourg, 2016</w:t>
      </w:r>
      <w:r w:rsidR="00FB5300" w:rsidRPr="00A21474">
        <w:rPr>
          <w:sz w:val="22"/>
          <w:szCs w:val="22"/>
        </w:rPr>
        <w:t xml:space="preserve">, </w:t>
      </w:r>
      <w:hyperlink r:id="rId12" w:history="1">
        <w:r w:rsidR="00FB5300" w:rsidRPr="00A21474">
          <w:rPr>
            <w:rStyle w:val="Hyperlink"/>
            <w:sz w:val="22"/>
            <w:szCs w:val="22"/>
          </w:rPr>
          <w:t>https://rm.coe.int/CoERMPublicCommonSearchServices/DisplayDCTMContent?documentId=09000016806ae621</w:t>
        </w:r>
      </w:hyperlink>
      <w:r w:rsidR="00FB5300" w:rsidRPr="00A21474">
        <w:rPr>
          <w:sz w:val="22"/>
          <w:szCs w:val="22"/>
        </w:rPr>
        <w:t>.</w:t>
      </w:r>
    </w:p>
    <w:p w14:paraId="0C60AB43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</w:p>
    <w:p w14:paraId="7396ECFF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</w:p>
    <w:p w14:paraId="000EF3AB" w14:textId="77777777" w:rsidR="008746DD" w:rsidRPr="00702C3D" w:rsidRDefault="008746DD" w:rsidP="008746DD">
      <w:pPr>
        <w:autoSpaceDE w:val="0"/>
        <w:autoSpaceDN w:val="0"/>
        <w:adjustRightInd w:val="0"/>
        <w:rPr>
          <w:rFonts w:ascii="Century Gothic" w:hAnsi="Century Gothic"/>
          <w:b/>
          <w:bCs/>
          <w:u w:val="single"/>
          <w:lang w:val="fr-FR"/>
        </w:rPr>
      </w:pPr>
      <w:r w:rsidRPr="00702C3D">
        <w:rPr>
          <w:rFonts w:ascii="Century Gothic" w:hAnsi="Century Gothic"/>
          <w:b/>
          <w:bCs/>
          <w:u w:val="single"/>
          <w:lang w:val="fr-FR"/>
        </w:rPr>
        <w:t>Tâche 2</w:t>
      </w:r>
    </w:p>
    <w:p w14:paraId="58A69281" w14:textId="7105EE17" w:rsidR="008746DD" w:rsidRPr="00A21474" w:rsidRDefault="008746DD" w:rsidP="008746DD">
      <w:pPr>
        <w:rPr>
          <w:sz w:val="22"/>
          <w:szCs w:val="22"/>
        </w:rPr>
      </w:pPr>
      <w:r w:rsidRPr="00A21474">
        <w:rPr>
          <w:sz w:val="22"/>
          <w:szCs w:val="22"/>
        </w:rPr>
        <w:t xml:space="preserve">Quel rôle la diversité, le multilinguisme et le </w:t>
      </w:r>
      <w:r w:rsidR="001E07B5" w:rsidRPr="00A21474">
        <w:rPr>
          <w:sz w:val="22"/>
          <w:szCs w:val="22"/>
        </w:rPr>
        <w:t>multi</w:t>
      </w:r>
      <w:r w:rsidRPr="00A21474">
        <w:rPr>
          <w:sz w:val="22"/>
          <w:szCs w:val="22"/>
        </w:rPr>
        <w:t xml:space="preserve">culturalisme jouent-ils dans votre école ? Examinez la façon dont cette question est abordée dans votre matière ou votre langue à l'école. Consultez les programmes scolaires ou d'autres documents. </w:t>
      </w:r>
    </w:p>
    <w:p w14:paraId="7BCB0E56" w14:textId="77777777" w:rsidR="005B6607" w:rsidRPr="00A21474" w:rsidRDefault="008746DD" w:rsidP="008746DD">
      <w:pPr>
        <w:rPr>
          <w:sz w:val="22"/>
          <w:szCs w:val="22"/>
        </w:rPr>
      </w:pPr>
      <w:r w:rsidRPr="00A21474">
        <w:rPr>
          <w:sz w:val="22"/>
          <w:szCs w:val="22"/>
        </w:rPr>
        <w:t xml:space="preserve">Alternative : si vous n'y avez pas accès, consultez les manuels scolaires utilisés ou le matériel pédagogique numérique.  </w:t>
      </w:r>
    </w:p>
    <w:p w14:paraId="23ED3D4A" w14:textId="77777777" w:rsidR="005B6607" w:rsidRPr="00A21474" w:rsidRDefault="008746DD" w:rsidP="005B66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1474">
        <w:rPr>
          <w:sz w:val="22"/>
          <w:szCs w:val="22"/>
        </w:rPr>
        <w:t>Choisissez trois chapitres/leçons/matières</w:t>
      </w:r>
      <w:r w:rsidR="005B6607" w:rsidRPr="00A21474">
        <w:rPr>
          <w:sz w:val="22"/>
          <w:szCs w:val="22"/>
        </w:rPr>
        <w:t xml:space="preserve"> ; repérez quels aspects de la diversité / du multilinguisme / du multiculturalisme y sont inclus. </w:t>
      </w:r>
    </w:p>
    <w:p w14:paraId="53EBB868" w14:textId="0CC64ECA" w:rsidR="005B6607" w:rsidRPr="00A21474" w:rsidRDefault="005B6607" w:rsidP="005B66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1474">
        <w:rPr>
          <w:sz w:val="22"/>
          <w:szCs w:val="22"/>
        </w:rPr>
        <w:t xml:space="preserve">Vous pouvez représenter ces aspects dans un schéma si vous le désirez. </w:t>
      </w:r>
      <w:r w:rsidR="008746DD" w:rsidRPr="00A21474">
        <w:rPr>
          <w:sz w:val="22"/>
          <w:szCs w:val="22"/>
        </w:rPr>
        <w:t xml:space="preserve"> </w:t>
      </w:r>
    </w:p>
    <w:p w14:paraId="69AC25A1" w14:textId="77777777" w:rsidR="005B6607" w:rsidRPr="00A21474" w:rsidRDefault="008746DD" w:rsidP="005B66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21474">
        <w:rPr>
          <w:sz w:val="22"/>
          <w:szCs w:val="22"/>
        </w:rPr>
        <w:t xml:space="preserve">Fournissez une analyse critique en 100 mots environ. </w:t>
      </w:r>
    </w:p>
    <w:p w14:paraId="2D9091F5" w14:textId="1E3C40C4" w:rsidR="00C36459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  <w:r w:rsidRPr="00A21474">
        <w:rPr>
          <w:sz w:val="22"/>
          <w:szCs w:val="22"/>
        </w:rPr>
        <w:t xml:space="preserve">Partagez votre schéma </w:t>
      </w:r>
      <w:r w:rsidR="005B6607" w:rsidRPr="00A21474">
        <w:rPr>
          <w:sz w:val="22"/>
          <w:szCs w:val="22"/>
        </w:rPr>
        <w:t xml:space="preserve">(le cas échéant) </w:t>
      </w:r>
      <w:r w:rsidRPr="00A21474">
        <w:rPr>
          <w:sz w:val="22"/>
          <w:szCs w:val="22"/>
        </w:rPr>
        <w:t>et votre analyse avant le cours via l'environnement d'apprentissage en lign</w:t>
      </w:r>
      <w:r w:rsidR="00C36459" w:rsidRPr="00A21474">
        <w:rPr>
          <w:sz w:val="22"/>
          <w:szCs w:val="22"/>
        </w:rPr>
        <w:t>e.</w:t>
      </w:r>
    </w:p>
    <w:p w14:paraId="74C86951" w14:textId="77777777" w:rsidR="00702C3D" w:rsidRDefault="00702C3D" w:rsidP="008746DD">
      <w:pPr>
        <w:autoSpaceDE w:val="0"/>
        <w:autoSpaceDN w:val="0"/>
        <w:adjustRightInd w:val="0"/>
        <w:rPr>
          <w:sz w:val="22"/>
          <w:szCs w:val="22"/>
        </w:rPr>
      </w:pPr>
    </w:p>
    <w:p w14:paraId="27F9EC78" w14:textId="77777777" w:rsidR="00702C3D" w:rsidRPr="00A21474" w:rsidRDefault="00702C3D" w:rsidP="008746DD">
      <w:pPr>
        <w:autoSpaceDE w:val="0"/>
        <w:autoSpaceDN w:val="0"/>
        <w:adjustRightInd w:val="0"/>
        <w:rPr>
          <w:sz w:val="22"/>
          <w:szCs w:val="22"/>
        </w:rPr>
      </w:pPr>
    </w:p>
    <w:p w14:paraId="033C3BBC" w14:textId="4E9E64DF" w:rsidR="008746DD" w:rsidRPr="00702C3D" w:rsidRDefault="008746DD" w:rsidP="008746DD">
      <w:pPr>
        <w:autoSpaceDE w:val="0"/>
        <w:autoSpaceDN w:val="0"/>
        <w:adjustRightInd w:val="0"/>
        <w:rPr>
          <w:rFonts w:ascii="Century Gothic" w:hAnsi="Century Gothic"/>
          <w:b/>
          <w:bCs/>
          <w:u w:val="single"/>
          <w:lang w:val="fr-FR"/>
        </w:rPr>
      </w:pPr>
      <w:r w:rsidRPr="00702C3D">
        <w:rPr>
          <w:rFonts w:ascii="Century Gothic" w:hAnsi="Century Gothic"/>
          <w:b/>
          <w:bCs/>
          <w:u w:val="single"/>
          <w:lang w:val="fr-FR"/>
        </w:rPr>
        <w:lastRenderedPageBreak/>
        <w:t>Tâche 3</w:t>
      </w:r>
    </w:p>
    <w:p w14:paraId="38CC5D89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  <w:r w:rsidRPr="00A21474">
        <w:rPr>
          <w:sz w:val="22"/>
          <w:szCs w:val="22"/>
        </w:rPr>
        <w:t>Êtes-vous d'accord avec les affirmations suivantes ? (</w:t>
      </w:r>
      <w:proofErr w:type="gramStart"/>
      <w:r w:rsidRPr="00A21474">
        <w:rPr>
          <w:sz w:val="22"/>
          <w:szCs w:val="22"/>
        </w:rPr>
        <w:t>échelle</w:t>
      </w:r>
      <w:proofErr w:type="gramEnd"/>
      <w:r w:rsidRPr="00A21474">
        <w:rPr>
          <w:sz w:val="22"/>
          <w:szCs w:val="22"/>
        </w:rPr>
        <w:t xml:space="preserve"> de 1 (pas du tout d'accord) à 5 (tout à fait d'accord)).</w:t>
      </w:r>
    </w:p>
    <w:p w14:paraId="132D1A21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2"/>
        <w:gridCol w:w="854"/>
      </w:tblGrid>
      <w:tr w:rsidR="00B61448" w:rsidRPr="00A21474" w14:paraId="0051120D" w14:textId="77777777" w:rsidTr="00B61448">
        <w:tc>
          <w:tcPr>
            <w:tcW w:w="8359" w:type="dxa"/>
          </w:tcPr>
          <w:p w14:paraId="78C376DE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14:paraId="7DB41330" w14:textId="798C6CDE" w:rsidR="00B61448" w:rsidRPr="00A21474" w:rsidRDefault="00B61448" w:rsidP="00B614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A21474">
              <w:rPr>
                <w:sz w:val="22"/>
                <w:szCs w:val="22"/>
              </w:rPr>
              <w:t>échelle</w:t>
            </w:r>
            <w:proofErr w:type="gramEnd"/>
            <w:r w:rsidRPr="00A21474">
              <w:rPr>
                <w:sz w:val="22"/>
                <w:szCs w:val="22"/>
              </w:rPr>
              <w:t xml:space="preserve"> 1 à 5</w:t>
            </w:r>
          </w:p>
        </w:tc>
      </w:tr>
      <w:tr w:rsidR="00B61448" w:rsidRPr="00A21474" w14:paraId="7E39BD3C" w14:textId="77777777" w:rsidTr="00B61448">
        <w:tc>
          <w:tcPr>
            <w:tcW w:w="8359" w:type="dxa"/>
          </w:tcPr>
          <w:p w14:paraId="412E28B5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14:paraId="22DC7323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1448" w:rsidRPr="00A21474" w14:paraId="07780C83" w14:textId="77777777" w:rsidTr="00B61448">
        <w:tc>
          <w:tcPr>
            <w:tcW w:w="8359" w:type="dxa"/>
          </w:tcPr>
          <w:p w14:paraId="081D977E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14:paraId="72497771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1448" w:rsidRPr="00A21474" w14:paraId="7B504A26" w14:textId="77777777" w:rsidTr="00B61448">
        <w:tc>
          <w:tcPr>
            <w:tcW w:w="8359" w:type="dxa"/>
          </w:tcPr>
          <w:p w14:paraId="2384A4C8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14:paraId="32B2400F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1448" w:rsidRPr="00A21474" w14:paraId="7A478115" w14:textId="77777777" w:rsidTr="00B61448">
        <w:tc>
          <w:tcPr>
            <w:tcW w:w="8359" w:type="dxa"/>
          </w:tcPr>
          <w:p w14:paraId="523997AD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7" w:type="dxa"/>
          </w:tcPr>
          <w:p w14:paraId="067CBC11" w14:textId="77777777" w:rsidR="00B61448" w:rsidRPr="00A21474" w:rsidRDefault="00B61448" w:rsidP="008746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AA99ED8" w14:textId="77777777" w:rsidR="00060297" w:rsidRPr="00A21474" w:rsidRDefault="00060297" w:rsidP="008746DD">
      <w:pPr>
        <w:autoSpaceDE w:val="0"/>
        <w:autoSpaceDN w:val="0"/>
        <w:adjustRightInd w:val="0"/>
        <w:rPr>
          <w:sz w:val="22"/>
          <w:szCs w:val="22"/>
        </w:rPr>
      </w:pPr>
    </w:p>
    <w:p w14:paraId="445027CC" w14:textId="77777777" w:rsidR="008746DD" w:rsidRPr="00A21474" w:rsidRDefault="008746DD" w:rsidP="00C364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1474">
        <w:rPr>
          <w:sz w:val="22"/>
          <w:szCs w:val="22"/>
        </w:rPr>
        <w:t xml:space="preserve">Les contextes sont très divers. Il est donc inutile de faire quoi que ce soit sur ce sujet en classe. </w:t>
      </w:r>
    </w:p>
    <w:p w14:paraId="5213A5B5" w14:textId="77777777" w:rsidR="008746DD" w:rsidRPr="00A21474" w:rsidRDefault="008746DD" w:rsidP="00C364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1474">
        <w:rPr>
          <w:sz w:val="22"/>
          <w:szCs w:val="22"/>
        </w:rPr>
        <w:t>Sans connaissance du contexte culturel, il est impossible de communiquer (dans une langue étrangère).</w:t>
      </w:r>
    </w:p>
    <w:p w14:paraId="56C90079" w14:textId="77777777" w:rsidR="008746DD" w:rsidRPr="00A21474" w:rsidRDefault="008746DD" w:rsidP="00C364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1474">
        <w:rPr>
          <w:sz w:val="22"/>
          <w:szCs w:val="22"/>
        </w:rPr>
        <w:t>Je ne peux pas prêter attention à la diversité / au multilinguisme /-culturalisme en plus des compétences, de la grammaire, de la littérature et du vocabulaire.</w:t>
      </w:r>
    </w:p>
    <w:p w14:paraId="7823F520" w14:textId="77777777" w:rsidR="008746DD" w:rsidRPr="00A21474" w:rsidRDefault="008746DD" w:rsidP="00C3645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1474">
        <w:rPr>
          <w:sz w:val="22"/>
          <w:szCs w:val="22"/>
        </w:rPr>
        <w:t>Je ne peux pas prêter attention au développement linguistique des élèves dans leur(s) L1(s) si elle(s) est/sont différente(s) de la langue de scolarisation.</w:t>
      </w:r>
    </w:p>
    <w:p w14:paraId="167FBE4B" w14:textId="77777777" w:rsidR="008746DD" w:rsidRPr="00A21474" w:rsidRDefault="008746DD" w:rsidP="008746DD">
      <w:pPr>
        <w:rPr>
          <w:b/>
          <w:bCs/>
          <w:sz w:val="22"/>
          <w:szCs w:val="22"/>
          <w:u w:val="single"/>
        </w:rPr>
      </w:pPr>
    </w:p>
    <w:p w14:paraId="3DB40BDA" w14:textId="77777777" w:rsidR="008746DD" w:rsidRPr="00702C3D" w:rsidRDefault="008746DD" w:rsidP="008746DD">
      <w:pPr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  <w:r w:rsidRPr="00702C3D">
        <w:rPr>
          <w:rFonts w:ascii="Century Gothic" w:hAnsi="Century Gothic"/>
          <w:b/>
          <w:bCs/>
          <w:u w:val="single"/>
        </w:rPr>
        <w:t>Tâche 4</w:t>
      </w:r>
    </w:p>
    <w:p w14:paraId="3F378469" w14:textId="77777777" w:rsidR="008746DD" w:rsidRPr="00A21474" w:rsidRDefault="008746DD" w:rsidP="008746DD">
      <w:pPr>
        <w:rPr>
          <w:sz w:val="22"/>
          <w:szCs w:val="22"/>
        </w:rPr>
      </w:pPr>
      <w:r w:rsidRPr="00A21474">
        <w:rPr>
          <w:sz w:val="22"/>
          <w:szCs w:val="22"/>
        </w:rPr>
        <w:t xml:space="preserve">Travaillez sur l'une des deux options suivantes de votre choix. Les étapes </w:t>
      </w:r>
      <w:proofErr w:type="gramStart"/>
      <w:r w:rsidRPr="00A21474">
        <w:rPr>
          <w:sz w:val="22"/>
          <w:szCs w:val="22"/>
        </w:rPr>
        <w:t>a</w:t>
      </w:r>
      <w:proofErr w:type="gramEnd"/>
      <w:r w:rsidRPr="00A21474">
        <w:rPr>
          <w:sz w:val="22"/>
          <w:szCs w:val="22"/>
        </w:rPr>
        <w:t>, c et d doivent être complétées par vous-même. L'étape b sera réalisée avec un·e partenaire.</w:t>
      </w:r>
    </w:p>
    <w:p w14:paraId="4FDF7E4B" w14:textId="77777777" w:rsidR="008746DD" w:rsidRPr="00A21474" w:rsidRDefault="008746DD" w:rsidP="008746DD">
      <w:pPr>
        <w:rPr>
          <w:b/>
          <w:bCs/>
          <w:i/>
          <w:iCs/>
          <w:sz w:val="22"/>
          <w:szCs w:val="22"/>
        </w:rPr>
      </w:pPr>
    </w:p>
    <w:p w14:paraId="4BFCEE65" w14:textId="77777777" w:rsidR="008746DD" w:rsidRPr="00A21474" w:rsidRDefault="008746DD" w:rsidP="008746DD">
      <w:pPr>
        <w:rPr>
          <w:b/>
          <w:bCs/>
          <w:i/>
          <w:iCs/>
          <w:sz w:val="22"/>
          <w:szCs w:val="22"/>
        </w:rPr>
      </w:pPr>
      <w:r w:rsidRPr="00A21474">
        <w:rPr>
          <w:b/>
          <w:bCs/>
          <w:i/>
          <w:iCs/>
          <w:sz w:val="22"/>
          <w:szCs w:val="22"/>
        </w:rPr>
        <w:t>Option 1</w:t>
      </w:r>
    </w:p>
    <w:p w14:paraId="415268CA" w14:textId="77777777" w:rsidR="008746DD" w:rsidRPr="00A21474" w:rsidRDefault="008746DD" w:rsidP="008746DD">
      <w:pPr>
        <w:autoSpaceDE w:val="0"/>
        <w:autoSpaceDN w:val="0"/>
        <w:adjustRightInd w:val="0"/>
        <w:spacing w:after="313"/>
        <w:rPr>
          <w:sz w:val="22"/>
          <w:szCs w:val="22"/>
          <w:lang w:val="fr-FR"/>
        </w:rPr>
      </w:pPr>
      <w:r w:rsidRPr="00A21474">
        <w:rPr>
          <w:sz w:val="22"/>
          <w:szCs w:val="22"/>
        </w:rPr>
        <w:t>a</w:t>
      </w:r>
      <w:r w:rsidRPr="00A21474">
        <w:rPr>
          <w:sz w:val="22"/>
          <w:szCs w:val="22"/>
          <w:lang w:val="fr-FR"/>
        </w:rPr>
        <w:t>. Dessinez votre portrait au milieu d'une feuille et regroupez autour de vous toutes les personnes qui ont été ou sont importantes dans votre vie. Tracez des lignes/flèches, etc. qui vous relient à chaque personne et insérez sur ces lignes les sujets/thèmes/activités qui vous relient à cette personne et les langues que vous utilisez avec elle (voir l'exemple en annexe).</w:t>
      </w:r>
    </w:p>
    <w:p w14:paraId="118AEDE5" w14:textId="77777777" w:rsidR="008746DD" w:rsidRPr="00A21474" w:rsidRDefault="008746DD" w:rsidP="008746DD">
      <w:pPr>
        <w:autoSpaceDE w:val="0"/>
        <w:autoSpaceDN w:val="0"/>
        <w:adjustRightInd w:val="0"/>
        <w:spacing w:after="313"/>
        <w:rPr>
          <w:sz w:val="22"/>
          <w:szCs w:val="22"/>
        </w:rPr>
      </w:pPr>
      <w:r w:rsidRPr="00A21474">
        <w:rPr>
          <w:sz w:val="22"/>
          <w:szCs w:val="22"/>
        </w:rPr>
        <w:t>b. Racontez à un·e partenaire ce que vous avez illustré et répondez à ses questions. Ensuite, votre partenaire vous présentera ce qu'il ou elle a dessiné et vous pourrez lui poser des questions.</w:t>
      </w:r>
    </w:p>
    <w:p w14:paraId="19D51BDF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  <w:lang w:val="fr-FR"/>
        </w:rPr>
      </w:pPr>
      <w:r w:rsidRPr="00A21474">
        <w:rPr>
          <w:sz w:val="22"/>
          <w:szCs w:val="22"/>
          <w:lang w:val="fr-FR"/>
        </w:rPr>
        <w:t>c. Mettez par écrit votre histoire/description. Vous pouvez utiliser n'importe quelle langue, ou plusieurs langues, à votre guise.</w:t>
      </w:r>
    </w:p>
    <w:p w14:paraId="1F9AFDE6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  <w:lang w:val="fr-FR"/>
        </w:rPr>
      </w:pPr>
    </w:p>
    <w:p w14:paraId="180B29C3" w14:textId="5ACD2AE1" w:rsidR="008746DD" w:rsidRPr="00A21474" w:rsidRDefault="008746DD" w:rsidP="008746DD">
      <w:pPr>
        <w:rPr>
          <w:sz w:val="22"/>
          <w:szCs w:val="22"/>
          <w:lang w:val="fr-FR"/>
        </w:rPr>
      </w:pPr>
      <w:r w:rsidRPr="00A21474">
        <w:rPr>
          <w:sz w:val="22"/>
          <w:szCs w:val="22"/>
          <w:lang w:val="fr-FR"/>
        </w:rPr>
        <w:t xml:space="preserve">d. Cherchez à déterminer qui, dans votre réseau personnel, vous a aidé et soutenu dans votre développement personnel et en ce qui concerne les langues dont vous </w:t>
      </w:r>
      <w:proofErr w:type="gramStart"/>
      <w:r w:rsidRPr="00A21474">
        <w:rPr>
          <w:sz w:val="22"/>
          <w:szCs w:val="22"/>
          <w:lang w:val="fr-FR"/>
        </w:rPr>
        <w:t>av</w:t>
      </w:r>
      <w:r w:rsidR="00B61448" w:rsidRPr="00A21474">
        <w:rPr>
          <w:sz w:val="22"/>
          <w:szCs w:val="22"/>
          <w:lang w:val="fr-FR"/>
        </w:rPr>
        <w:t>i</w:t>
      </w:r>
      <w:r w:rsidRPr="00A21474">
        <w:rPr>
          <w:sz w:val="22"/>
          <w:szCs w:val="22"/>
          <w:lang w:val="fr-FR"/>
        </w:rPr>
        <w:t>ez</w:t>
      </w:r>
      <w:r w:rsidR="00B61448" w:rsidRPr="00A21474">
        <w:rPr>
          <w:sz w:val="22"/>
          <w:szCs w:val="22"/>
          <w:lang w:val="fr-FR"/>
        </w:rPr>
        <w:t> </w:t>
      </w:r>
      <w:r w:rsidRPr="00A21474">
        <w:rPr>
          <w:sz w:val="22"/>
          <w:szCs w:val="22"/>
          <w:lang w:val="fr-FR"/>
        </w:rPr>
        <w:t xml:space="preserve"> besoin</w:t>
      </w:r>
      <w:proofErr w:type="gramEnd"/>
      <w:r w:rsidRPr="00A21474">
        <w:rPr>
          <w:sz w:val="22"/>
          <w:szCs w:val="22"/>
          <w:lang w:val="fr-FR"/>
        </w:rPr>
        <w:t xml:space="preserve"> pour votre éducation</w:t>
      </w:r>
      <w:r w:rsidR="00B61448" w:rsidRPr="00A21474">
        <w:rPr>
          <w:sz w:val="22"/>
          <w:szCs w:val="22"/>
          <w:lang w:val="fr-FR"/>
        </w:rPr>
        <w:t xml:space="preserve"> (= langue académique</w:t>
      </w:r>
      <w:r w:rsidRPr="00A21474">
        <w:rPr>
          <w:sz w:val="22"/>
          <w:szCs w:val="22"/>
          <w:lang w:val="fr-FR"/>
        </w:rPr>
        <w:t>).</w:t>
      </w:r>
    </w:p>
    <w:p w14:paraId="7F4DE312" w14:textId="77777777" w:rsidR="008746DD" w:rsidRPr="00A21474" w:rsidRDefault="008746DD" w:rsidP="008746DD">
      <w:pPr>
        <w:rPr>
          <w:sz w:val="22"/>
          <w:szCs w:val="22"/>
        </w:rPr>
      </w:pPr>
    </w:p>
    <w:p w14:paraId="1911B234" w14:textId="77777777" w:rsidR="00A21474" w:rsidRPr="00A21474" w:rsidRDefault="00A21474" w:rsidP="008746DD">
      <w:pPr>
        <w:rPr>
          <w:sz w:val="22"/>
          <w:szCs w:val="22"/>
        </w:rPr>
      </w:pPr>
    </w:p>
    <w:p w14:paraId="6A0D2372" w14:textId="77777777" w:rsidR="008746DD" w:rsidRPr="00A21474" w:rsidRDefault="008746DD" w:rsidP="008746DD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A21474">
        <w:rPr>
          <w:b/>
          <w:bCs/>
          <w:i/>
          <w:iCs/>
          <w:sz w:val="22"/>
          <w:szCs w:val="22"/>
        </w:rPr>
        <w:t>Option 2</w:t>
      </w:r>
    </w:p>
    <w:p w14:paraId="1515BAA3" w14:textId="77777777" w:rsidR="008746DD" w:rsidRPr="00A21474" w:rsidRDefault="008746DD" w:rsidP="008746DD">
      <w:pPr>
        <w:autoSpaceDE w:val="0"/>
        <w:autoSpaceDN w:val="0"/>
        <w:adjustRightInd w:val="0"/>
        <w:spacing w:after="270"/>
        <w:rPr>
          <w:sz w:val="22"/>
          <w:szCs w:val="22"/>
        </w:rPr>
      </w:pPr>
      <w:r w:rsidRPr="00A21474">
        <w:rPr>
          <w:sz w:val="22"/>
          <w:szCs w:val="22"/>
        </w:rPr>
        <w:t xml:space="preserve">a. Dessinez un chemin/une route à travers un paysage imaginaire, depuis votre naissance jusqu'à aujourd'hui, qui vous conduit à travers les étapes importantes de votre vie. Dessinez les moments décisifs (par exemple, lorsque votre famille a déménagé ou s'est installée dans un autre pays, lorsque vous êtes allé à l'école, vos </w:t>
      </w:r>
      <w:proofErr w:type="spellStart"/>
      <w:r w:rsidRPr="00A21474">
        <w:rPr>
          <w:sz w:val="22"/>
          <w:szCs w:val="22"/>
        </w:rPr>
        <w:t>meilleur·es</w:t>
      </w:r>
      <w:proofErr w:type="spellEnd"/>
      <w:r w:rsidRPr="00A21474">
        <w:rPr>
          <w:sz w:val="22"/>
          <w:szCs w:val="22"/>
        </w:rPr>
        <w:t xml:space="preserve"> </w:t>
      </w:r>
      <w:proofErr w:type="spellStart"/>
      <w:r w:rsidRPr="00A21474">
        <w:rPr>
          <w:sz w:val="22"/>
          <w:szCs w:val="22"/>
        </w:rPr>
        <w:t>ami·es</w:t>
      </w:r>
      <w:proofErr w:type="spellEnd"/>
      <w:r w:rsidRPr="00A21474">
        <w:rPr>
          <w:sz w:val="22"/>
          <w:szCs w:val="22"/>
        </w:rPr>
        <w:t xml:space="preserve"> et quand/où vous les avez </w:t>
      </w:r>
      <w:proofErr w:type="spellStart"/>
      <w:proofErr w:type="gramStart"/>
      <w:r w:rsidRPr="00A21474">
        <w:rPr>
          <w:sz w:val="22"/>
          <w:szCs w:val="22"/>
        </w:rPr>
        <w:t>rencontré</w:t>
      </w:r>
      <w:proofErr w:type="gramEnd"/>
      <w:r w:rsidRPr="00A21474">
        <w:rPr>
          <w:sz w:val="22"/>
          <w:szCs w:val="22"/>
        </w:rPr>
        <w:t>·es</w:t>
      </w:r>
      <w:proofErr w:type="spellEnd"/>
      <w:r w:rsidRPr="00A21474">
        <w:rPr>
          <w:sz w:val="22"/>
          <w:szCs w:val="22"/>
        </w:rPr>
        <w:t>...) et ajoutez les langues que vous avez apprises ou utilisées au cours de cette trajectoire.</w:t>
      </w:r>
    </w:p>
    <w:p w14:paraId="7DA5BA1B" w14:textId="77777777" w:rsidR="008746DD" w:rsidRPr="00A21474" w:rsidRDefault="008746DD" w:rsidP="008746DD">
      <w:pPr>
        <w:autoSpaceDE w:val="0"/>
        <w:autoSpaceDN w:val="0"/>
        <w:adjustRightInd w:val="0"/>
        <w:spacing w:after="270"/>
        <w:rPr>
          <w:sz w:val="22"/>
          <w:szCs w:val="22"/>
        </w:rPr>
      </w:pPr>
      <w:r w:rsidRPr="00A21474">
        <w:rPr>
          <w:sz w:val="22"/>
          <w:szCs w:val="22"/>
        </w:rPr>
        <w:t>b. Racontez à un·e partenaire ce que vous avez illustré et répondez à ses questions sur les détails. Ensuite, votre partenaire vous présentera ce qu'il ou elle a dessiné et vous pourrez lui poser des questions.</w:t>
      </w:r>
    </w:p>
    <w:p w14:paraId="3E247A19" w14:textId="088D741A" w:rsidR="008746DD" w:rsidRPr="00A21474" w:rsidRDefault="008746DD" w:rsidP="00C36459">
      <w:pPr>
        <w:autoSpaceDE w:val="0"/>
        <w:autoSpaceDN w:val="0"/>
        <w:adjustRightInd w:val="0"/>
        <w:spacing w:after="270"/>
        <w:rPr>
          <w:sz w:val="22"/>
          <w:szCs w:val="22"/>
        </w:rPr>
      </w:pPr>
      <w:r w:rsidRPr="00A21474">
        <w:rPr>
          <w:sz w:val="22"/>
          <w:szCs w:val="22"/>
          <w:lang w:val="fr-FR"/>
        </w:rPr>
        <w:lastRenderedPageBreak/>
        <w:t>c. Mettez par écrit votre histoire/description. Vous pouvez utiliser n'importe quelle langue, ou plusieurs langues, à votre guise.</w:t>
      </w:r>
    </w:p>
    <w:p w14:paraId="186CE501" w14:textId="0D4D55BA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  <w:r w:rsidRPr="00A21474">
        <w:rPr>
          <w:sz w:val="22"/>
          <w:szCs w:val="22"/>
        </w:rPr>
        <w:t xml:space="preserve">d. Cherchez à déterminer lesquelles de vos expériences vous ont </w:t>
      </w:r>
      <w:proofErr w:type="spellStart"/>
      <w:r w:rsidRPr="00A21474">
        <w:rPr>
          <w:sz w:val="22"/>
          <w:szCs w:val="22"/>
        </w:rPr>
        <w:t>aidé</w:t>
      </w:r>
      <w:r w:rsidR="005E72A2" w:rsidRPr="00A21474">
        <w:rPr>
          <w:sz w:val="22"/>
          <w:szCs w:val="22"/>
        </w:rPr>
        <w:t>·e</w:t>
      </w:r>
      <w:proofErr w:type="spellEnd"/>
      <w:r w:rsidRPr="00A21474">
        <w:rPr>
          <w:sz w:val="22"/>
          <w:szCs w:val="22"/>
        </w:rPr>
        <w:t xml:space="preserve"> à comprendre les matières et les langues à l'école/à l'université/... et à réussir votre parcours scolaire/de formation, et pourquoi.</w:t>
      </w:r>
    </w:p>
    <w:p w14:paraId="249A1BA0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  <w:highlight w:val="magenta"/>
        </w:rPr>
      </w:pPr>
    </w:p>
    <w:p w14:paraId="13CD7232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  <w:highlight w:val="magenta"/>
        </w:rPr>
      </w:pPr>
    </w:p>
    <w:p w14:paraId="4BA29738" w14:textId="77777777" w:rsidR="008746DD" w:rsidRPr="00702C3D" w:rsidRDefault="008746DD" w:rsidP="008746DD">
      <w:pPr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  <w:r w:rsidRPr="00702C3D">
        <w:rPr>
          <w:rFonts w:ascii="Century Gothic" w:hAnsi="Century Gothic"/>
          <w:b/>
          <w:bCs/>
          <w:u w:val="single"/>
        </w:rPr>
        <w:t>Tâche 5</w:t>
      </w:r>
    </w:p>
    <w:p w14:paraId="37901BE2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  <w:r w:rsidRPr="00A21474">
        <w:rPr>
          <w:sz w:val="22"/>
          <w:szCs w:val="22"/>
        </w:rPr>
        <w:t xml:space="preserve">Réfléchissez à votre expérience avec l'une des options de la tâche 4 par groupes de 3. </w:t>
      </w:r>
    </w:p>
    <w:p w14:paraId="2E8A6D17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</w:p>
    <w:p w14:paraId="0F87E9D8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  <w:r w:rsidRPr="00A21474">
        <w:rPr>
          <w:sz w:val="22"/>
          <w:szCs w:val="22"/>
        </w:rPr>
        <w:t>1.</w:t>
      </w:r>
      <w:r w:rsidRPr="00A21474">
        <w:rPr>
          <w:sz w:val="22"/>
          <w:szCs w:val="22"/>
        </w:rPr>
        <w:tab/>
        <w:t>Qu'avez-vous appris/découvert en dessinant votre répertoire ou profil linguistique ?</w:t>
      </w:r>
    </w:p>
    <w:p w14:paraId="6C22B8D1" w14:textId="77777777" w:rsidR="008746DD" w:rsidRPr="00A21474" w:rsidRDefault="008746DD" w:rsidP="008746DD">
      <w:pPr>
        <w:autoSpaceDE w:val="0"/>
        <w:autoSpaceDN w:val="0"/>
        <w:adjustRightInd w:val="0"/>
        <w:ind w:left="700" w:hanging="700"/>
        <w:rPr>
          <w:sz w:val="22"/>
          <w:szCs w:val="22"/>
        </w:rPr>
      </w:pPr>
      <w:r w:rsidRPr="00A21474">
        <w:rPr>
          <w:sz w:val="22"/>
          <w:szCs w:val="22"/>
        </w:rPr>
        <w:t>2.</w:t>
      </w:r>
      <w:r w:rsidRPr="00A21474">
        <w:rPr>
          <w:sz w:val="22"/>
          <w:szCs w:val="22"/>
        </w:rPr>
        <w:tab/>
        <w:t>Comment vos langues sont-elles liées les unes aux autres, à votre expérience de vie, etc. ?</w:t>
      </w:r>
    </w:p>
    <w:p w14:paraId="0B19105B" w14:textId="77777777" w:rsidR="008746DD" w:rsidRPr="00A21474" w:rsidRDefault="008746DD" w:rsidP="008746DD">
      <w:pPr>
        <w:autoSpaceDE w:val="0"/>
        <w:autoSpaceDN w:val="0"/>
        <w:adjustRightInd w:val="0"/>
        <w:rPr>
          <w:sz w:val="22"/>
          <w:szCs w:val="22"/>
        </w:rPr>
      </w:pPr>
    </w:p>
    <w:p w14:paraId="5B953239" w14:textId="77777777" w:rsidR="008746DD" w:rsidRPr="00702C3D" w:rsidRDefault="008746DD" w:rsidP="008746DD">
      <w:pPr>
        <w:autoSpaceDE w:val="0"/>
        <w:autoSpaceDN w:val="0"/>
        <w:adjustRightInd w:val="0"/>
        <w:rPr>
          <w:rFonts w:ascii="Century Gothic" w:hAnsi="Century Gothic"/>
          <w:b/>
          <w:bCs/>
          <w:u w:val="single"/>
        </w:rPr>
      </w:pPr>
      <w:r w:rsidRPr="00702C3D">
        <w:rPr>
          <w:rFonts w:ascii="Century Gothic" w:hAnsi="Century Gothic"/>
          <w:b/>
          <w:bCs/>
          <w:u w:val="single"/>
        </w:rPr>
        <w:t>Tâche 6</w:t>
      </w:r>
    </w:p>
    <w:p w14:paraId="05B49345" w14:textId="77777777" w:rsidR="008746DD" w:rsidRPr="00A21474" w:rsidRDefault="008746DD" w:rsidP="008746DD">
      <w:pPr>
        <w:pStyle w:val="ListParagraph"/>
        <w:ind w:left="0"/>
        <w:rPr>
          <w:sz w:val="22"/>
          <w:szCs w:val="22"/>
        </w:rPr>
      </w:pPr>
      <w:r w:rsidRPr="00A21474">
        <w:rPr>
          <w:sz w:val="22"/>
          <w:szCs w:val="22"/>
        </w:rPr>
        <w:t xml:space="preserve">En groupes de 3, transposez vos conclusions des tâches 1 à 5 à votre propre classe. Présentez ensuite vos principales conclusions à l'ensemble du groupe en 3 minutes et soumettez un dilemme à la discussion.  </w:t>
      </w:r>
    </w:p>
    <w:p w14:paraId="7B827A61" w14:textId="77777777" w:rsidR="008746DD" w:rsidRPr="00A21474" w:rsidRDefault="008746DD" w:rsidP="008746DD">
      <w:pPr>
        <w:pStyle w:val="ListParagraph"/>
        <w:ind w:left="0"/>
        <w:rPr>
          <w:sz w:val="22"/>
          <w:szCs w:val="22"/>
        </w:rPr>
      </w:pPr>
      <w:r w:rsidRPr="00A21474">
        <w:rPr>
          <w:sz w:val="22"/>
          <w:szCs w:val="22"/>
        </w:rPr>
        <w:t>Les questions suivantes vous guideront tout au long de la conversation :</w:t>
      </w:r>
    </w:p>
    <w:p w14:paraId="579DE3E8" w14:textId="77777777" w:rsidR="008746DD" w:rsidRPr="00A21474" w:rsidRDefault="008746DD" w:rsidP="008746DD">
      <w:pPr>
        <w:pStyle w:val="ListParagraph"/>
        <w:ind w:left="708"/>
        <w:rPr>
          <w:sz w:val="22"/>
          <w:szCs w:val="22"/>
        </w:rPr>
      </w:pPr>
      <w:r w:rsidRPr="00A21474">
        <w:rPr>
          <w:sz w:val="22"/>
          <w:szCs w:val="22"/>
        </w:rPr>
        <w:t xml:space="preserve">1. En tant qu’enseignant·es, que devez-vous être capable de faire pour réaliser ces tâches ? </w:t>
      </w:r>
    </w:p>
    <w:p w14:paraId="5F3D211B" w14:textId="412CDE7E" w:rsidR="008746DD" w:rsidRPr="00A21474" w:rsidRDefault="008746DD" w:rsidP="008746DD">
      <w:pPr>
        <w:pStyle w:val="ListParagraph"/>
        <w:ind w:left="708"/>
        <w:rPr>
          <w:sz w:val="22"/>
          <w:szCs w:val="22"/>
        </w:rPr>
      </w:pPr>
      <w:r w:rsidRPr="00A21474">
        <w:rPr>
          <w:sz w:val="22"/>
          <w:szCs w:val="22"/>
        </w:rPr>
        <w:t>2. Que doivent pouvoir faire les apprenant</w:t>
      </w:r>
      <w:r w:rsidR="000964E1" w:rsidRPr="00A21474">
        <w:rPr>
          <w:sz w:val="22"/>
          <w:szCs w:val="22"/>
        </w:rPr>
        <w:t>·es</w:t>
      </w:r>
      <w:r w:rsidRPr="00A21474">
        <w:rPr>
          <w:sz w:val="22"/>
          <w:szCs w:val="22"/>
        </w:rPr>
        <w:t xml:space="preserve"> pour réaliser ces tâches ? </w:t>
      </w:r>
    </w:p>
    <w:p w14:paraId="472C033E" w14:textId="77777777" w:rsidR="008746DD" w:rsidRPr="00A21474" w:rsidRDefault="008746DD" w:rsidP="008746DD">
      <w:pPr>
        <w:pStyle w:val="ListParagraph"/>
        <w:ind w:left="708"/>
        <w:rPr>
          <w:sz w:val="22"/>
          <w:szCs w:val="22"/>
        </w:rPr>
      </w:pPr>
      <w:r w:rsidRPr="00A21474">
        <w:rPr>
          <w:sz w:val="22"/>
          <w:szCs w:val="22"/>
        </w:rPr>
        <w:t>3. Connaissez-vous les contextes spécifiques de vos élèves ?</w:t>
      </w:r>
    </w:p>
    <w:p w14:paraId="571DFDA6" w14:textId="6315D73D" w:rsidR="008746DD" w:rsidRPr="00A21474" w:rsidRDefault="008746DD" w:rsidP="001F0855">
      <w:pPr>
        <w:pStyle w:val="ListParagraph"/>
        <w:ind w:left="708"/>
        <w:rPr>
          <w:sz w:val="22"/>
          <w:szCs w:val="22"/>
        </w:rPr>
      </w:pPr>
      <w:r w:rsidRPr="00A21474">
        <w:rPr>
          <w:sz w:val="22"/>
          <w:szCs w:val="22"/>
        </w:rPr>
        <w:t>4. Avez-vous identifié des apprenant</w:t>
      </w:r>
      <w:r w:rsidR="00E126E4" w:rsidRPr="00A21474">
        <w:rPr>
          <w:sz w:val="22"/>
          <w:szCs w:val="22"/>
        </w:rPr>
        <w:t>·es</w:t>
      </w:r>
      <w:r w:rsidRPr="00A21474">
        <w:rPr>
          <w:sz w:val="22"/>
          <w:szCs w:val="22"/>
        </w:rPr>
        <w:t xml:space="preserve"> </w:t>
      </w:r>
      <w:r w:rsidR="007B6B0C" w:rsidRPr="00A21474">
        <w:rPr>
          <w:sz w:val="22"/>
          <w:szCs w:val="22"/>
        </w:rPr>
        <w:t>plurilingues</w:t>
      </w:r>
      <w:r w:rsidRPr="00A21474">
        <w:rPr>
          <w:sz w:val="22"/>
          <w:szCs w:val="22"/>
        </w:rPr>
        <w:t xml:space="preserve"> dans votre classe ? Avez-vous observé une forme ou une autre de multilinguisme dans vo</w:t>
      </w:r>
      <w:r w:rsidR="007B6B0C" w:rsidRPr="00A21474">
        <w:rPr>
          <w:sz w:val="22"/>
          <w:szCs w:val="22"/>
        </w:rPr>
        <w:t>s</w:t>
      </w:r>
      <w:r w:rsidRPr="00A21474">
        <w:rPr>
          <w:sz w:val="22"/>
          <w:szCs w:val="22"/>
        </w:rPr>
        <w:t xml:space="preserve"> classe</w:t>
      </w:r>
      <w:r w:rsidR="007B6B0C" w:rsidRPr="00A21474">
        <w:rPr>
          <w:sz w:val="22"/>
          <w:szCs w:val="22"/>
        </w:rPr>
        <w:t>s</w:t>
      </w:r>
      <w:r w:rsidRPr="00A21474">
        <w:rPr>
          <w:sz w:val="22"/>
          <w:szCs w:val="22"/>
        </w:rPr>
        <w:t xml:space="preserve"> ? Dans quelle mesure en êtes-vous </w:t>
      </w:r>
      <w:proofErr w:type="spellStart"/>
      <w:r w:rsidRPr="00A21474">
        <w:rPr>
          <w:sz w:val="22"/>
          <w:szCs w:val="22"/>
        </w:rPr>
        <w:t>conscient·e</w:t>
      </w:r>
      <w:proofErr w:type="spellEnd"/>
      <w:r w:rsidRPr="00A21474">
        <w:rPr>
          <w:sz w:val="22"/>
          <w:szCs w:val="22"/>
        </w:rPr>
        <w:t xml:space="preserve"> ?</w:t>
      </w:r>
    </w:p>
    <w:p w14:paraId="3498A10C" w14:textId="77777777" w:rsidR="008746DD" w:rsidRDefault="008746DD" w:rsidP="008746DD">
      <w:pPr>
        <w:pStyle w:val="ListParagraph"/>
        <w:ind w:left="708"/>
        <w:rPr>
          <w:sz w:val="22"/>
          <w:szCs w:val="22"/>
        </w:rPr>
      </w:pPr>
      <w:r w:rsidRPr="00A21474">
        <w:rPr>
          <w:sz w:val="22"/>
          <w:szCs w:val="22"/>
        </w:rPr>
        <w:t xml:space="preserve">5.Comment pouvez-vous utiliser les connaissances acquises grâce à cet exercice dans la préparation de votre cours (de langue étrangère) et donc peut-être pour la différenciation entre </w:t>
      </w:r>
      <w:proofErr w:type="gramStart"/>
      <w:r w:rsidRPr="00A21474">
        <w:rPr>
          <w:sz w:val="22"/>
          <w:szCs w:val="22"/>
        </w:rPr>
        <w:t>les apprenant</w:t>
      </w:r>
      <w:proofErr w:type="gramEnd"/>
      <w:r w:rsidRPr="00A21474">
        <w:rPr>
          <w:sz w:val="22"/>
          <w:szCs w:val="22"/>
        </w:rPr>
        <w:t>·es ?</w:t>
      </w:r>
    </w:p>
    <w:p w14:paraId="5AEFE10B" w14:textId="333F3840" w:rsidR="008746DD" w:rsidRPr="00A21474" w:rsidRDefault="00265852" w:rsidP="005011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8746DD" w:rsidRPr="00702C3D">
        <w:rPr>
          <w:rFonts w:ascii="Century Gothic" w:hAnsi="Century Gothic"/>
          <w:b/>
          <w:bCs/>
          <w:u w:val="single"/>
        </w:rPr>
        <w:lastRenderedPageBreak/>
        <w:t>Annexe</w:t>
      </w:r>
    </w:p>
    <w:p w14:paraId="3F993FE8" w14:textId="77777777" w:rsidR="008746DD" w:rsidRPr="00A21474" w:rsidRDefault="008746DD" w:rsidP="008746DD">
      <w:pPr>
        <w:rPr>
          <w:b/>
          <w:bCs/>
          <w:sz w:val="22"/>
          <w:szCs w:val="22"/>
        </w:rPr>
      </w:pPr>
    </w:p>
    <w:p w14:paraId="75358A1C" w14:textId="0757E08A" w:rsidR="008746DD" w:rsidRPr="00A21474" w:rsidRDefault="008746DD" w:rsidP="008746DD">
      <w:pPr>
        <w:rPr>
          <w:b/>
          <w:bCs/>
          <w:sz w:val="22"/>
          <w:szCs w:val="22"/>
        </w:rPr>
      </w:pPr>
      <w:r w:rsidRPr="00A21474">
        <w:rPr>
          <w:b/>
          <w:bCs/>
          <w:sz w:val="22"/>
          <w:szCs w:val="22"/>
        </w:rPr>
        <w:t xml:space="preserve">Option </w:t>
      </w:r>
      <w:proofErr w:type="gramStart"/>
      <w:r w:rsidRPr="00A21474">
        <w:rPr>
          <w:b/>
          <w:bCs/>
          <w:sz w:val="22"/>
          <w:szCs w:val="22"/>
        </w:rPr>
        <w:t>1:</w:t>
      </w:r>
      <w:proofErr w:type="gramEnd"/>
      <w:r w:rsidRPr="00A21474">
        <w:rPr>
          <w:b/>
          <w:bCs/>
          <w:sz w:val="22"/>
          <w:szCs w:val="22"/>
        </w:rPr>
        <w:t xml:space="preserve"> Portrait </w:t>
      </w:r>
      <w:r w:rsidR="005B6607" w:rsidRPr="00A21474">
        <w:rPr>
          <w:b/>
          <w:bCs/>
          <w:sz w:val="22"/>
          <w:szCs w:val="22"/>
          <w:lang w:val="fr-FR"/>
        </w:rPr>
        <w:t>de langues</w:t>
      </w:r>
    </w:p>
    <w:p w14:paraId="2200446B" w14:textId="77777777" w:rsidR="008746DD" w:rsidRPr="00A21474" w:rsidRDefault="008746DD" w:rsidP="008746DD">
      <w:pPr>
        <w:rPr>
          <w:b/>
          <w:bCs/>
          <w:sz w:val="22"/>
          <w:szCs w:val="22"/>
        </w:rPr>
      </w:pPr>
    </w:p>
    <w:p w14:paraId="7F4D743D" w14:textId="77777777" w:rsidR="008746DD" w:rsidRPr="00A21474" w:rsidRDefault="008746DD" w:rsidP="008746DD">
      <w:pPr>
        <w:jc w:val="center"/>
        <w:rPr>
          <w:b/>
          <w:bCs/>
          <w:sz w:val="22"/>
          <w:szCs w:val="22"/>
        </w:rPr>
      </w:pPr>
    </w:p>
    <w:p w14:paraId="59715147" w14:textId="77777777" w:rsidR="008746DD" w:rsidRPr="00A21474" w:rsidRDefault="008746DD" w:rsidP="008746DD">
      <w:pPr>
        <w:jc w:val="center"/>
        <w:rPr>
          <w:b/>
          <w:bCs/>
          <w:sz w:val="22"/>
          <w:szCs w:val="22"/>
        </w:rPr>
      </w:pPr>
    </w:p>
    <w:p w14:paraId="6B47FA37" w14:textId="77777777" w:rsidR="008746DD" w:rsidRPr="00A21474" w:rsidRDefault="008746DD" w:rsidP="008746DD">
      <w:pPr>
        <w:rPr>
          <w:b/>
          <w:bCs/>
          <w:sz w:val="22"/>
          <w:szCs w:val="22"/>
          <w:lang w:val="en-US"/>
        </w:rPr>
      </w:pPr>
      <w:r w:rsidRPr="00A21474">
        <w:rPr>
          <w:b/>
          <w:bCs/>
          <w:noProof/>
          <w:sz w:val="22"/>
          <w:szCs w:val="22"/>
          <w:lang w:val="de-DE" w:eastAsia="de-DE"/>
        </w:rPr>
        <w:drawing>
          <wp:inline distT="0" distB="0" distL="0" distR="0" wp14:anchorId="084EF162" wp14:editId="78E018C5">
            <wp:extent cx="4388485" cy="3362048"/>
            <wp:effectExtent l="0" t="0" r="5715" b="0"/>
            <wp:docPr id="3" name="Grafik 3" descr="Une image contenant texte, dessin humoristique, clipart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Une image contenant texte, dessin humoristique, clipart,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33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6FFA0" w14:textId="77777777" w:rsidR="008746DD" w:rsidRPr="00A21474" w:rsidRDefault="008746DD" w:rsidP="008746DD">
      <w:pPr>
        <w:rPr>
          <w:b/>
          <w:bCs/>
          <w:sz w:val="22"/>
          <w:szCs w:val="22"/>
          <w:lang w:val="en-US"/>
        </w:rPr>
      </w:pPr>
    </w:p>
    <w:p w14:paraId="7B996979" w14:textId="77777777" w:rsidR="008746DD" w:rsidRPr="00A21474" w:rsidRDefault="008746DD" w:rsidP="008746DD">
      <w:pPr>
        <w:pStyle w:val="CommentText"/>
        <w:rPr>
          <w:sz w:val="22"/>
          <w:szCs w:val="22"/>
          <w:lang w:val="de-DE"/>
        </w:rPr>
      </w:pPr>
      <w:r w:rsidRPr="00A21474">
        <w:rPr>
          <w:sz w:val="22"/>
          <w:szCs w:val="22"/>
          <w:lang w:val="de-DE"/>
        </w:rPr>
        <w:t>Source: Brigitte Olschnögger, Kindergarten Dorf Nenzing/Vorarlberg/Autriche</w:t>
      </w:r>
    </w:p>
    <w:p w14:paraId="47704AAE" w14:textId="77777777" w:rsidR="008746DD" w:rsidRPr="00A21474" w:rsidRDefault="008746DD" w:rsidP="008746DD">
      <w:pPr>
        <w:rPr>
          <w:b/>
          <w:bCs/>
          <w:sz w:val="22"/>
          <w:szCs w:val="22"/>
          <w:lang w:val="de-DE"/>
        </w:rPr>
      </w:pPr>
    </w:p>
    <w:p w14:paraId="39EDDBA3" w14:textId="77777777" w:rsidR="008746DD" w:rsidRPr="00A21474" w:rsidRDefault="008746DD" w:rsidP="008746DD">
      <w:pPr>
        <w:rPr>
          <w:bCs/>
          <w:sz w:val="22"/>
          <w:szCs w:val="22"/>
          <w:lang w:val="de-DE"/>
        </w:rPr>
      </w:pPr>
    </w:p>
    <w:p w14:paraId="750FE1AA" w14:textId="77777777" w:rsidR="008746DD" w:rsidRPr="00A21474" w:rsidRDefault="008746DD" w:rsidP="008746DD">
      <w:pPr>
        <w:ind w:left="567" w:hanging="567"/>
        <w:rPr>
          <w:bCs/>
          <w:sz w:val="22"/>
          <w:szCs w:val="22"/>
        </w:rPr>
      </w:pPr>
      <w:r w:rsidRPr="00A21474">
        <w:rPr>
          <w:bCs/>
          <w:sz w:val="22"/>
          <w:szCs w:val="22"/>
        </w:rPr>
        <w:t>De plus amples informations théoriques et des exemples de portraits de langues sont</w:t>
      </w:r>
    </w:p>
    <w:p w14:paraId="7D5134B5" w14:textId="77777777" w:rsidR="008746DD" w:rsidRPr="00A21474" w:rsidRDefault="008746DD" w:rsidP="008746DD">
      <w:pPr>
        <w:ind w:left="567" w:hanging="567"/>
        <w:rPr>
          <w:bCs/>
          <w:sz w:val="22"/>
          <w:szCs w:val="22"/>
        </w:rPr>
      </w:pPr>
      <w:proofErr w:type="gramStart"/>
      <w:r w:rsidRPr="00A21474">
        <w:rPr>
          <w:bCs/>
          <w:sz w:val="22"/>
          <w:szCs w:val="22"/>
        </w:rPr>
        <w:t>également</w:t>
      </w:r>
      <w:proofErr w:type="gramEnd"/>
      <w:r w:rsidRPr="00A21474">
        <w:rPr>
          <w:bCs/>
          <w:sz w:val="22"/>
          <w:szCs w:val="22"/>
        </w:rPr>
        <w:t xml:space="preserve"> disponibles dans les documents suivants: </w:t>
      </w:r>
    </w:p>
    <w:p w14:paraId="2F6010FF" w14:textId="77777777" w:rsidR="008746DD" w:rsidRPr="00A21474" w:rsidRDefault="008746DD" w:rsidP="008746DD">
      <w:pPr>
        <w:ind w:left="567" w:hanging="567"/>
        <w:rPr>
          <w:bCs/>
          <w:sz w:val="22"/>
          <w:szCs w:val="22"/>
        </w:rPr>
      </w:pPr>
    </w:p>
    <w:p w14:paraId="2750A7F3" w14:textId="77777777" w:rsidR="00FB5300" w:rsidRPr="00A21474" w:rsidRDefault="00FB5300" w:rsidP="00FB5300">
      <w:pPr>
        <w:jc w:val="both"/>
        <w:rPr>
          <w:bCs/>
          <w:sz w:val="22"/>
          <w:szCs w:val="22"/>
          <w:lang w:val="en-US"/>
        </w:rPr>
      </w:pPr>
      <w:r w:rsidRPr="00A21474">
        <w:rPr>
          <w:bCs/>
          <w:sz w:val="22"/>
          <w:szCs w:val="22"/>
          <w:lang w:val="en-US"/>
        </w:rPr>
        <w:t xml:space="preserve">Busch B.,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en-US"/>
        </w:rPr>
        <w:t xml:space="preserve">« </w:t>
      </w:r>
      <w:r w:rsidRPr="00A21474">
        <w:rPr>
          <w:bCs/>
          <w:sz w:val="22"/>
          <w:szCs w:val="22"/>
          <w:lang w:val="en-US"/>
        </w:rPr>
        <w:t xml:space="preserve">School Language Profiles: Valorizing Linguistic Resources in </w:t>
      </w:r>
      <w:proofErr w:type="spellStart"/>
      <w:r w:rsidRPr="00A21474">
        <w:rPr>
          <w:bCs/>
          <w:sz w:val="22"/>
          <w:szCs w:val="22"/>
          <w:lang w:val="en-US"/>
        </w:rPr>
        <w:t>Heteroglossic</w:t>
      </w:r>
      <w:proofErr w:type="spellEnd"/>
      <w:r w:rsidRPr="00A21474">
        <w:rPr>
          <w:bCs/>
          <w:sz w:val="22"/>
          <w:szCs w:val="22"/>
          <w:lang w:val="en-US"/>
        </w:rPr>
        <w:t xml:space="preserve"> Situations in South Africa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en-US"/>
        </w:rPr>
        <w:t>»,</w:t>
      </w:r>
      <w:r w:rsidRPr="00A21474">
        <w:rPr>
          <w:bCs/>
          <w:sz w:val="22"/>
          <w:szCs w:val="22"/>
          <w:lang w:val="en-US"/>
        </w:rPr>
        <w:t xml:space="preserve"> </w:t>
      </w:r>
      <w:r w:rsidRPr="00A21474">
        <w:rPr>
          <w:bCs/>
          <w:i/>
          <w:iCs/>
          <w:sz w:val="22"/>
          <w:szCs w:val="22"/>
          <w:lang w:val="en-US"/>
        </w:rPr>
        <w:t>Language and Education</w:t>
      </w:r>
      <w:r w:rsidRPr="00A21474">
        <w:rPr>
          <w:bCs/>
          <w:sz w:val="22"/>
          <w:szCs w:val="22"/>
          <w:lang w:val="en-US"/>
        </w:rPr>
        <w:t xml:space="preserve">, nº 24, </w:t>
      </w:r>
      <w:proofErr w:type="spellStart"/>
      <w:r w:rsidRPr="00A21474">
        <w:rPr>
          <w:bCs/>
          <w:sz w:val="22"/>
          <w:szCs w:val="22"/>
          <w:lang w:val="en-US"/>
        </w:rPr>
        <w:t>janvier</w:t>
      </w:r>
      <w:proofErr w:type="spellEnd"/>
      <w:r w:rsidRPr="00A21474">
        <w:rPr>
          <w:bCs/>
          <w:sz w:val="22"/>
          <w:szCs w:val="22"/>
          <w:lang w:val="en-US"/>
        </w:rPr>
        <w:t xml:space="preserve"> 2010, p. 283-294,</w:t>
      </w:r>
    </w:p>
    <w:p w14:paraId="050AF436" w14:textId="7B46AB12" w:rsidR="007816CE" w:rsidRPr="00A21474" w:rsidRDefault="00000000" w:rsidP="007816CE">
      <w:pPr>
        <w:ind w:left="426"/>
        <w:jc w:val="both"/>
        <w:rPr>
          <w:bCs/>
          <w:sz w:val="22"/>
          <w:szCs w:val="22"/>
        </w:rPr>
      </w:pPr>
      <w:hyperlink r:id="rId14" w:history="1">
        <w:r w:rsidR="00FB5300" w:rsidRPr="00A21474">
          <w:rPr>
            <w:rStyle w:val="Hyperlink"/>
            <w:bCs/>
            <w:sz w:val="22"/>
            <w:szCs w:val="22"/>
          </w:rPr>
          <w:t>https://www.researchgate.net/publication/233209404_School_Language_Profiles_Valorizing_Linguistic_Resources_in_Heteroglossic_Situations_in_South_Africa</w:t>
        </w:r>
      </w:hyperlink>
      <w:r w:rsidR="007816CE" w:rsidRPr="00A21474">
        <w:rPr>
          <w:rStyle w:val="Hyperlink"/>
          <w:bCs/>
          <w:sz w:val="22"/>
          <w:szCs w:val="22"/>
        </w:rPr>
        <w:t xml:space="preserve">, </w:t>
      </w:r>
      <w:r w:rsidR="007816CE" w:rsidRPr="00A21474">
        <w:rPr>
          <w:bCs/>
          <w:sz w:val="22"/>
          <w:szCs w:val="22"/>
        </w:rPr>
        <w:t>consulté le 23 juin 2023</w:t>
      </w:r>
    </w:p>
    <w:p w14:paraId="5C47DC88" w14:textId="10476DE6" w:rsidR="00FB5300" w:rsidRPr="00A21474" w:rsidRDefault="00FB5300" w:rsidP="00FB5300">
      <w:pPr>
        <w:ind w:left="426"/>
        <w:jc w:val="both"/>
        <w:rPr>
          <w:bCs/>
          <w:sz w:val="22"/>
          <w:szCs w:val="22"/>
        </w:rPr>
      </w:pPr>
    </w:p>
    <w:p w14:paraId="4BE443A5" w14:textId="77777777" w:rsidR="00FB5300" w:rsidRPr="00A21474" w:rsidRDefault="00FB5300" w:rsidP="00FB5300">
      <w:pPr>
        <w:ind w:left="567" w:hanging="567"/>
        <w:jc w:val="both"/>
        <w:rPr>
          <w:bCs/>
          <w:sz w:val="22"/>
          <w:szCs w:val="22"/>
        </w:rPr>
      </w:pPr>
    </w:p>
    <w:p w14:paraId="0F03DC8C" w14:textId="77777777" w:rsidR="00FB5300" w:rsidRPr="00A21474" w:rsidRDefault="00FB5300" w:rsidP="00FB5300">
      <w:pPr>
        <w:ind w:left="567" w:hanging="567"/>
        <w:jc w:val="both"/>
        <w:rPr>
          <w:bCs/>
          <w:sz w:val="22"/>
          <w:szCs w:val="22"/>
          <w:lang w:val="en-US"/>
        </w:rPr>
      </w:pPr>
      <w:r w:rsidRPr="00A21474">
        <w:rPr>
          <w:bCs/>
          <w:sz w:val="22"/>
          <w:szCs w:val="22"/>
          <w:lang w:val="en-US"/>
        </w:rPr>
        <w:t xml:space="preserve">Busch B.,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en-US"/>
        </w:rPr>
        <w:t xml:space="preserve">« </w:t>
      </w:r>
      <w:r w:rsidRPr="00A21474">
        <w:rPr>
          <w:bCs/>
          <w:sz w:val="22"/>
          <w:szCs w:val="22"/>
          <w:lang w:val="en-US"/>
        </w:rPr>
        <w:t>The language portrait in multilingualism research. Theoretical and</w:t>
      </w:r>
    </w:p>
    <w:p w14:paraId="2230A4E7" w14:textId="77777777" w:rsidR="00FB5300" w:rsidRPr="00A21474" w:rsidRDefault="00FB5300" w:rsidP="00FB5300">
      <w:pPr>
        <w:jc w:val="both"/>
        <w:rPr>
          <w:bCs/>
          <w:sz w:val="22"/>
          <w:szCs w:val="22"/>
          <w:lang w:val="en-US"/>
        </w:rPr>
      </w:pPr>
      <w:r w:rsidRPr="00A21474">
        <w:rPr>
          <w:bCs/>
          <w:sz w:val="22"/>
          <w:szCs w:val="22"/>
          <w:lang w:val="en-US"/>
        </w:rPr>
        <w:t xml:space="preserve">methodological considerations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en-US"/>
        </w:rPr>
        <w:t xml:space="preserve">», </w:t>
      </w:r>
      <w:r w:rsidRPr="00A21474">
        <w:rPr>
          <w:bCs/>
          <w:i/>
          <w:iCs/>
          <w:sz w:val="22"/>
          <w:szCs w:val="22"/>
          <w:lang w:val="en-US"/>
        </w:rPr>
        <w:t>Working Papers in Urban Language and Literacies</w:t>
      </w:r>
      <w:r w:rsidRPr="00A21474">
        <w:rPr>
          <w:bCs/>
          <w:sz w:val="22"/>
          <w:szCs w:val="22"/>
          <w:lang w:val="en-US"/>
        </w:rPr>
        <w:t>, nº 236, 2018, p. 1–13,</w:t>
      </w:r>
    </w:p>
    <w:p w14:paraId="05400172" w14:textId="77777777" w:rsidR="007816CE" w:rsidRPr="00A21474" w:rsidRDefault="00000000" w:rsidP="007816CE">
      <w:pPr>
        <w:ind w:left="426"/>
        <w:jc w:val="both"/>
        <w:rPr>
          <w:bCs/>
          <w:sz w:val="22"/>
          <w:szCs w:val="22"/>
        </w:rPr>
      </w:pPr>
      <w:hyperlink r:id="rId15" w:history="1">
        <w:r w:rsidR="00FB5300" w:rsidRPr="00A21474">
          <w:rPr>
            <w:rStyle w:val="Hyperlink"/>
            <w:bCs/>
            <w:sz w:val="22"/>
            <w:szCs w:val="22"/>
          </w:rPr>
          <w:t>https://www.academia.edu/35988562/WP236_Busch_2018_The_language_portrait_inmultilingualism_research_Theoretical_and_methodological_considerations</w:t>
        </w:r>
      </w:hyperlink>
      <w:proofErr w:type="gramStart"/>
      <w:r w:rsidR="007816CE" w:rsidRPr="00A21474">
        <w:rPr>
          <w:bCs/>
          <w:sz w:val="22"/>
          <w:szCs w:val="22"/>
        </w:rPr>
        <w:t>, ,</w:t>
      </w:r>
      <w:proofErr w:type="gramEnd"/>
      <w:r w:rsidR="007816CE" w:rsidRPr="00A21474">
        <w:rPr>
          <w:bCs/>
          <w:sz w:val="22"/>
          <w:szCs w:val="22"/>
        </w:rPr>
        <w:t xml:space="preserve"> consulté le 23 juin 2023</w:t>
      </w:r>
    </w:p>
    <w:p w14:paraId="20E18AFC" w14:textId="77777777" w:rsidR="00FB5300" w:rsidRPr="00A21474" w:rsidRDefault="00FB5300" w:rsidP="00FB5300">
      <w:pPr>
        <w:ind w:left="567" w:hanging="567"/>
        <w:jc w:val="both"/>
        <w:rPr>
          <w:bCs/>
          <w:sz w:val="22"/>
          <w:szCs w:val="22"/>
        </w:rPr>
      </w:pPr>
    </w:p>
    <w:p w14:paraId="079D9BE0" w14:textId="77777777" w:rsidR="00FB5300" w:rsidRPr="00A21474" w:rsidRDefault="00FB5300" w:rsidP="00FB5300">
      <w:pPr>
        <w:ind w:left="567" w:hanging="567"/>
        <w:jc w:val="both"/>
        <w:rPr>
          <w:bCs/>
          <w:sz w:val="22"/>
          <w:szCs w:val="22"/>
          <w:lang w:val="de-DE"/>
        </w:rPr>
      </w:pPr>
      <w:r w:rsidRPr="00A21474">
        <w:rPr>
          <w:bCs/>
          <w:sz w:val="22"/>
          <w:szCs w:val="22"/>
          <w:lang w:val="de-DE"/>
        </w:rPr>
        <w:t xml:space="preserve">Krumm Hans-Jürgen,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de-AT"/>
        </w:rPr>
        <w:t xml:space="preserve">« </w:t>
      </w:r>
      <w:r w:rsidRPr="00A21474">
        <w:rPr>
          <w:bCs/>
          <w:sz w:val="22"/>
          <w:szCs w:val="22"/>
          <w:lang w:val="de-DE"/>
        </w:rPr>
        <w:t xml:space="preserve">Mehrsprachigkeit in Sprachenporträts und Sprachenbiographien von </w:t>
      </w:r>
    </w:p>
    <w:p w14:paraId="447187F0" w14:textId="77777777" w:rsidR="00FB5300" w:rsidRPr="00A21474" w:rsidRDefault="00FB5300" w:rsidP="00FB5300">
      <w:pPr>
        <w:jc w:val="both"/>
        <w:rPr>
          <w:bCs/>
          <w:sz w:val="22"/>
          <w:szCs w:val="22"/>
          <w:lang w:val="de-DE"/>
        </w:rPr>
      </w:pPr>
      <w:r w:rsidRPr="00A21474">
        <w:rPr>
          <w:bCs/>
          <w:sz w:val="22"/>
          <w:szCs w:val="22"/>
          <w:lang w:val="de-DE"/>
        </w:rPr>
        <w:t xml:space="preserve">Migrantinnen und Migranten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de-AT"/>
        </w:rPr>
        <w:t>»</w:t>
      </w:r>
      <w:r w:rsidRPr="00A21474">
        <w:rPr>
          <w:bCs/>
          <w:sz w:val="22"/>
          <w:szCs w:val="22"/>
          <w:lang w:val="de-DE"/>
        </w:rPr>
        <w:t xml:space="preserve">, in: Jenkins, Eva-Maria et Krumm, Hans-Jürgen (dir.), </w:t>
      </w:r>
      <w:r w:rsidRPr="00A21474">
        <w:rPr>
          <w:bCs/>
          <w:i/>
          <w:iCs/>
          <w:sz w:val="22"/>
          <w:szCs w:val="22"/>
          <w:lang w:val="de-DE"/>
        </w:rPr>
        <w:t>Kinder und ihre Sprachen - lebendige Mehrsprachigkeit: Sprachenporträts</w:t>
      </w:r>
      <w:r w:rsidRPr="00A21474">
        <w:rPr>
          <w:bCs/>
          <w:sz w:val="22"/>
          <w:szCs w:val="22"/>
          <w:lang w:val="de-DE"/>
        </w:rPr>
        <w:t>, Eviva, Vienna, 2001, p. 16-24,</w:t>
      </w:r>
    </w:p>
    <w:p w14:paraId="29BC0692" w14:textId="77777777" w:rsidR="007816CE" w:rsidRPr="00A21474" w:rsidRDefault="00000000" w:rsidP="007816CE">
      <w:pPr>
        <w:ind w:left="426"/>
        <w:jc w:val="both"/>
        <w:rPr>
          <w:bCs/>
          <w:sz w:val="22"/>
          <w:szCs w:val="22"/>
        </w:rPr>
      </w:pPr>
      <w:hyperlink r:id="rId16" w:history="1">
        <w:r w:rsidR="00FB5300" w:rsidRPr="00A21474">
          <w:rPr>
            <w:rStyle w:val="Hyperlink"/>
            <w:bCs/>
            <w:sz w:val="22"/>
            <w:szCs w:val="22"/>
            <w:lang w:val="fr-FR"/>
          </w:rPr>
          <w:t>http://akdaf.ch/html/rundbrief/rbpdfs/61_Mehrsprachigkeit_Sprachenportraits.pdf</w:t>
        </w:r>
      </w:hyperlink>
      <w:proofErr w:type="gramStart"/>
      <w:r w:rsidR="007816CE" w:rsidRPr="00A21474">
        <w:rPr>
          <w:bCs/>
          <w:sz w:val="22"/>
          <w:szCs w:val="22"/>
          <w:lang w:val="fr-FR"/>
        </w:rPr>
        <w:t xml:space="preserve">, </w:t>
      </w:r>
      <w:r w:rsidR="007816CE" w:rsidRPr="00A21474">
        <w:rPr>
          <w:bCs/>
          <w:sz w:val="22"/>
          <w:szCs w:val="22"/>
        </w:rPr>
        <w:t>,</w:t>
      </w:r>
      <w:proofErr w:type="gramEnd"/>
      <w:r w:rsidR="007816CE" w:rsidRPr="00A21474">
        <w:rPr>
          <w:bCs/>
          <w:sz w:val="22"/>
          <w:szCs w:val="22"/>
        </w:rPr>
        <w:t xml:space="preserve"> consulté le 23 juin 2023</w:t>
      </w:r>
    </w:p>
    <w:p w14:paraId="5278D86E" w14:textId="61457F6D" w:rsidR="00FB5300" w:rsidRPr="00A21474" w:rsidRDefault="00FB5300" w:rsidP="00FB5300">
      <w:pPr>
        <w:ind w:left="426"/>
        <w:jc w:val="both"/>
        <w:rPr>
          <w:bCs/>
          <w:i/>
          <w:iCs/>
          <w:sz w:val="22"/>
          <w:szCs w:val="22"/>
          <w:lang w:val="fr-FR"/>
        </w:rPr>
      </w:pPr>
    </w:p>
    <w:p w14:paraId="74F5EBAF" w14:textId="77777777" w:rsidR="00501198" w:rsidRDefault="0050119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77699F7" w14:textId="1B5DB503" w:rsidR="008746DD" w:rsidRPr="00A21474" w:rsidRDefault="008746DD" w:rsidP="008746DD">
      <w:pPr>
        <w:pStyle w:val="CommentText"/>
        <w:rPr>
          <w:b/>
          <w:sz w:val="22"/>
          <w:szCs w:val="22"/>
        </w:rPr>
      </w:pPr>
      <w:r w:rsidRPr="00A21474">
        <w:rPr>
          <w:b/>
          <w:sz w:val="22"/>
          <w:szCs w:val="22"/>
        </w:rPr>
        <w:lastRenderedPageBreak/>
        <w:t xml:space="preserve">Option </w:t>
      </w:r>
      <w:proofErr w:type="gramStart"/>
      <w:r w:rsidRPr="00A21474">
        <w:rPr>
          <w:b/>
          <w:sz w:val="22"/>
          <w:szCs w:val="22"/>
        </w:rPr>
        <w:t>2:</w:t>
      </w:r>
      <w:proofErr w:type="gramEnd"/>
      <w:r w:rsidRPr="00A21474">
        <w:rPr>
          <w:b/>
          <w:sz w:val="22"/>
          <w:szCs w:val="22"/>
        </w:rPr>
        <w:t xml:space="preserve"> Parcours de langues</w:t>
      </w:r>
    </w:p>
    <w:p w14:paraId="7BFD6CB9" w14:textId="77777777" w:rsidR="008746DD" w:rsidRPr="00A21474" w:rsidRDefault="008746DD" w:rsidP="008746DD">
      <w:pPr>
        <w:pStyle w:val="CommentText"/>
        <w:rPr>
          <w:b/>
          <w:sz w:val="22"/>
          <w:szCs w:val="22"/>
        </w:rPr>
      </w:pPr>
    </w:p>
    <w:p w14:paraId="4440E6CC" w14:textId="5A2F0843" w:rsidR="008746DD" w:rsidRPr="00A21474" w:rsidRDefault="008746DD" w:rsidP="008746DD">
      <w:pPr>
        <w:pStyle w:val="CommentText"/>
        <w:rPr>
          <w:sz w:val="22"/>
          <w:szCs w:val="22"/>
        </w:rPr>
      </w:pPr>
      <w:r w:rsidRPr="00A21474">
        <w:rPr>
          <w:sz w:val="22"/>
          <w:szCs w:val="22"/>
        </w:rPr>
        <w:t xml:space="preserve">Vous trouverez des </w:t>
      </w:r>
      <w:r w:rsidR="00C374D4" w:rsidRPr="00A21474">
        <w:rPr>
          <w:sz w:val="22"/>
          <w:szCs w:val="22"/>
        </w:rPr>
        <w:t xml:space="preserve">références et </w:t>
      </w:r>
      <w:r w:rsidRPr="00A21474">
        <w:rPr>
          <w:sz w:val="22"/>
          <w:szCs w:val="22"/>
        </w:rPr>
        <w:t xml:space="preserve">exemples ici : </w:t>
      </w:r>
    </w:p>
    <w:p w14:paraId="0DA95182" w14:textId="77777777" w:rsidR="00C374D4" w:rsidRPr="00A21474" w:rsidRDefault="00C374D4" w:rsidP="008746DD">
      <w:pPr>
        <w:pStyle w:val="CommentText"/>
        <w:rPr>
          <w:sz w:val="22"/>
          <w:szCs w:val="22"/>
        </w:rPr>
      </w:pPr>
    </w:p>
    <w:p w14:paraId="1A9B0183" w14:textId="77777777" w:rsidR="00FB5300" w:rsidRPr="00A21474" w:rsidRDefault="00FB5300" w:rsidP="00FB5300">
      <w:pPr>
        <w:pStyle w:val="CommentText"/>
        <w:jc w:val="both"/>
        <w:rPr>
          <w:sz w:val="22"/>
          <w:szCs w:val="22"/>
        </w:rPr>
      </w:pPr>
      <w:r w:rsidRPr="00A21474">
        <w:rPr>
          <w:sz w:val="22"/>
          <w:szCs w:val="22"/>
        </w:rPr>
        <w:t xml:space="preserve">Castellotti Véronique et Moore Danièle,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fr-FR"/>
        </w:rPr>
        <w:t xml:space="preserve">« </w:t>
      </w:r>
      <w:r w:rsidRPr="00A21474">
        <w:rPr>
          <w:sz w:val="22"/>
          <w:szCs w:val="22"/>
        </w:rPr>
        <w:t xml:space="preserve">Dessins d’enfants et constructions plurilingues. Territoires imagés et parcours imaginés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fr-FR"/>
        </w:rPr>
        <w:t>»</w:t>
      </w:r>
      <w:r w:rsidRPr="00A21474">
        <w:rPr>
          <w:sz w:val="22"/>
          <w:szCs w:val="22"/>
        </w:rPr>
        <w:t>, in Molinie, Muriel (</w:t>
      </w:r>
      <w:proofErr w:type="spellStart"/>
      <w:r w:rsidRPr="00A21474">
        <w:rPr>
          <w:sz w:val="22"/>
          <w:szCs w:val="22"/>
        </w:rPr>
        <w:t>dir</w:t>
      </w:r>
      <w:proofErr w:type="spellEnd"/>
      <w:r w:rsidRPr="00A21474">
        <w:rPr>
          <w:sz w:val="22"/>
          <w:szCs w:val="22"/>
        </w:rPr>
        <w:t xml:space="preserve">.), </w:t>
      </w:r>
      <w:r w:rsidRPr="00A21474">
        <w:rPr>
          <w:i/>
          <w:iCs/>
          <w:sz w:val="22"/>
          <w:szCs w:val="22"/>
        </w:rPr>
        <w:t>Le dessin réflexif. Eléments d’une herméneutique du sujet plurilingue</w:t>
      </w:r>
      <w:r w:rsidRPr="00A21474">
        <w:rPr>
          <w:sz w:val="22"/>
          <w:szCs w:val="22"/>
        </w:rPr>
        <w:t xml:space="preserve">, CRTF, Cergy, 2009, p. 45-85,     </w:t>
      </w:r>
    </w:p>
    <w:p w14:paraId="3CE10DB4" w14:textId="77777777" w:rsidR="007816CE" w:rsidRPr="00A21474" w:rsidRDefault="00000000" w:rsidP="007816CE">
      <w:pPr>
        <w:ind w:left="426"/>
        <w:jc w:val="both"/>
        <w:rPr>
          <w:bCs/>
          <w:sz w:val="22"/>
          <w:szCs w:val="22"/>
        </w:rPr>
      </w:pPr>
      <w:hyperlink r:id="rId17" w:history="1">
        <w:r w:rsidR="00FB5300" w:rsidRPr="00A21474">
          <w:rPr>
            <w:rStyle w:val="Hyperlink"/>
            <w:sz w:val="22"/>
            <w:szCs w:val="22"/>
          </w:rPr>
          <w:t>https://hal.science/hal-01390212</w:t>
        </w:r>
      </w:hyperlink>
      <w:proofErr w:type="gramStart"/>
      <w:r w:rsidR="007816CE" w:rsidRPr="00A21474">
        <w:rPr>
          <w:rStyle w:val="Hyperlink"/>
          <w:sz w:val="22"/>
          <w:szCs w:val="22"/>
        </w:rPr>
        <w:t xml:space="preserve">, </w:t>
      </w:r>
      <w:r w:rsidR="007816CE" w:rsidRPr="00A21474">
        <w:rPr>
          <w:bCs/>
          <w:sz w:val="22"/>
          <w:szCs w:val="22"/>
        </w:rPr>
        <w:t>,</w:t>
      </w:r>
      <w:proofErr w:type="gramEnd"/>
      <w:r w:rsidR="007816CE" w:rsidRPr="00A21474">
        <w:rPr>
          <w:bCs/>
          <w:sz w:val="22"/>
          <w:szCs w:val="22"/>
        </w:rPr>
        <w:t xml:space="preserve"> consulté le 23 juin 2023</w:t>
      </w:r>
    </w:p>
    <w:p w14:paraId="4795B417" w14:textId="20D77D05" w:rsidR="00FB5300" w:rsidRPr="00A21474" w:rsidRDefault="00FB5300" w:rsidP="00FB5300">
      <w:pPr>
        <w:pStyle w:val="CommentText"/>
        <w:ind w:left="426"/>
        <w:jc w:val="both"/>
        <w:rPr>
          <w:sz w:val="22"/>
          <w:szCs w:val="22"/>
        </w:rPr>
      </w:pPr>
    </w:p>
    <w:p w14:paraId="552AA45B" w14:textId="77777777" w:rsidR="00FB5300" w:rsidRPr="00A21474" w:rsidRDefault="00FB5300" w:rsidP="00FB5300">
      <w:pPr>
        <w:pStyle w:val="CommentText"/>
        <w:jc w:val="both"/>
        <w:rPr>
          <w:sz w:val="22"/>
          <w:szCs w:val="22"/>
        </w:rPr>
      </w:pPr>
    </w:p>
    <w:p w14:paraId="5FF01445" w14:textId="77777777" w:rsidR="00FB5300" w:rsidRPr="00A21474" w:rsidRDefault="00FB5300" w:rsidP="00FB5300">
      <w:pPr>
        <w:pStyle w:val="CommentText"/>
        <w:rPr>
          <w:sz w:val="22"/>
          <w:szCs w:val="22"/>
          <w:lang w:val="fr-FR"/>
        </w:rPr>
      </w:pPr>
      <w:r w:rsidRPr="00A21474">
        <w:rPr>
          <w:sz w:val="22"/>
          <w:szCs w:val="22"/>
        </w:rPr>
        <w:t xml:space="preserve">Centre européen pour les langues vivantes du Conseil de l’Europe, 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fr-FR"/>
        </w:rPr>
        <w:t xml:space="preserve">« </w:t>
      </w:r>
      <w:r w:rsidRPr="00A21474">
        <w:rPr>
          <w:sz w:val="22"/>
          <w:szCs w:val="22"/>
        </w:rPr>
        <w:t>Visualiser son répertoire langagier. Exemples.</w:t>
      </w:r>
      <w:r w:rsidRPr="00A21474">
        <w:rPr>
          <w:rFonts w:ascii="Arial" w:hAnsi="Arial" w:cs="Arial"/>
          <w:color w:val="202122"/>
          <w:sz w:val="22"/>
          <w:szCs w:val="22"/>
          <w:shd w:val="clear" w:color="auto" w:fill="FFFFFF"/>
          <w:lang w:val="fr-FR"/>
        </w:rPr>
        <w:t xml:space="preserve"> »</w:t>
      </w:r>
      <w:r w:rsidRPr="00A21474">
        <w:rPr>
          <w:sz w:val="22"/>
          <w:szCs w:val="22"/>
          <w:lang w:val="fr-FR"/>
        </w:rPr>
        <w:t xml:space="preserve">, </w:t>
      </w:r>
      <w:hyperlink r:id="rId18" w:history="1">
        <w:r w:rsidRPr="00A21474">
          <w:rPr>
            <w:rStyle w:val="Hyperlink"/>
            <w:sz w:val="22"/>
            <w:szCs w:val="22"/>
          </w:rPr>
          <w:t>https://maledive.ecml.at/Studymaterials/Individual/Visualisinglanguagerepertoires/Examples/tabid/3636/Default.aspx</w:t>
        </w:r>
      </w:hyperlink>
      <w:r w:rsidRPr="00A21474">
        <w:rPr>
          <w:sz w:val="22"/>
          <w:szCs w:val="22"/>
        </w:rPr>
        <w:t>, consulté le 15 juillet 2022.</w:t>
      </w:r>
    </w:p>
    <w:p w14:paraId="18467369" w14:textId="77777777" w:rsidR="00FB5300" w:rsidRPr="00A21474" w:rsidRDefault="00FB5300" w:rsidP="00FB5300">
      <w:pPr>
        <w:pStyle w:val="CommentText"/>
        <w:jc w:val="both"/>
        <w:rPr>
          <w:sz w:val="22"/>
          <w:szCs w:val="22"/>
        </w:rPr>
      </w:pPr>
    </w:p>
    <w:p w14:paraId="61C63C8A" w14:textId="77777777" w:rsidR="00FB5300" w:rsidRPr="00A21474" w:rsidRDefault="00FB5300" w:rsidP="00FB5300">
      <w:pPr>
        <w:jc w:val="both"/>
        <w:rPr>
          <w:sz w:val="22"/>
          <w:szCs w:val="22"/>
        </w:rPr>
      </w:pPr>
      <w:r w:rsidRPr="00A21474">
        <w:rPr>
          <w:sz w:val="22"/>
          <w:szCs w:val="22"/>
        </w:rPr>
        <w:t xml:space="preserve">Biographie langagière 1, [Illustration], Centre européen pour les langues vivantes du Conseil de l’Europe, </w:t>
      </w:r>
      <w:hyperlink r:id="rId19" w:history="1">
        <w:r w:rsidRPr="00A21474">
          <w:rPr>
            <w:rStyle w:val="Hyperlink"/>
            <w:sz w:val="22"/>
            <w:szCs w:val="22"/>
            <w:lang w:val="fr-FR"/>
          </w:rPr>
          <w:t>https://maledive.ecml.at/Portals/45/Language_biography1.pdf</w:t>
        </w:r>
      </w:hyperlink>
      <w:r w:rsidRPr="00A21474">
        <w:rPr>
          <w:rStyle w:val="Hyperlink"/>
          <w:sz w:val="22"/>
          <w:szCs w:val="22"/>
          <w:lang w:val="fr-FR"/>
        </w:rPr>
        <w:t xml:space="preserve">, </w:t>
      </w:r>
      <w:r w:rsidRPr="00A21474">
        <w:rPr>
          <w:sz w:val="22"/>
          <w:szCs w:val="22"/>
        </w:rPr>
        <w:t>(</w:t>
      </w:r>
      <w:proofErr w:type="spellStart"/>
      <w:r w:rsidRPr="00A21474">
        <w:rPr>
          <w:sz w:val="22"/>
          <w:szCs w:val="22"/>
        </w:rPr>
        <w:t>n.d</w:t>
      </w:r>
      <w:proofErr w:type="spellEnd"/>
      <w:r w:rsidRPr="00A21474">
        <w:rPr>
          <w:sz w:val="22"/>
          <w:szCs w:val="22"/>
        </w:rPr>
        <w:t>.).</w:t>
      </w:r>
    </w:p>
    <w:p w14:paraId="0D0D5938" w14:textId="77777777" w:rsidR="00FB5300" w:rsidRPr="00A21474" w:rsidRDefault="00FB5300" w:rsidP="00FB5300">
      <w:pPr>
        <w:jc w:val="both"/>
        <w:rPr>
          <w:sz w:val="22"/>
          <w:szCs w:val="22"/>
          <w:lang w:val="fr-FR"/>
        </w:rPr>
      </w:pPr>
    </w:p>
    <w:p w14:paraId="54248013" w14:textId="77777777" w:rsidR="00FB5300" w:rsidRPr="00A21474" w:rsidRDefault="00FB5300" w:rsidP="00FB5300">
      <w:pPr>
        <w:pStyle w:val="CommentText"/>
        <w:jc w:val="both"/>
        <w:rPr>
          <w:sz w:val="22"/>
          <w:szCs w:val="22"/>
        </w:rPr>
      </w:pPr>
      <w:r w:rsidRPr="00A21474">
        <w:rPr>
          <w:sz w:val="22"/>
          <w:szCs w:val="22"/>
        </w:rPr>
        <w:t xml:space="preserve">Biographie langagière 2, [Illustration], Centre européen pour les langues vivantes du Conseil de l’Europe,  </w:t>
      </w:r>
      <w:hyperlink r:id="rId20" w:history="1">
        <w:r w:rsidRPr="00A21474">
          <w:rPr>
            <w:rStyle w:val="Hyperlink"/>
            <w:sz w:val="22"/>
            <w:szCs w:val="22"/>
          </w:rPr>
          <w:t>https://maledive.ecml.at/Portals/45/Language_biography2.pdf</w:t>
        </w:r>
      </w:hyperlink>
      <w:r w:rsidRPr="00A21474">
        <w:rPr>
          <w:sz w:val="22"/>
          <w:szCs w:val="22"/>
        </w:rPr>
        <w:t xml:space="preserve"> , (</w:t>
      </w:r>
      <w:proofErr w:type="spellStart"/>
      <w:r w:rsidRPr="00A21474">
        <w:rPr>
          <w:sz w:val="22"/>
          <w:szCs w:val="22"/>
        </w:rPr>
        <w:t>n.d</w:t>
      </w:r>
      <w:proofErr w:type="spellEnd"/>
      <w:r w:rsidRPr="00A21474">
        <w:rPr>
          <w:sz w:val="22"/>
          <w:szCs w:val="22"/>
        </w:rPr>
        <w:t>.).</w:t>
      </w:r>
    </w:p>
    <w:p w14:paraId="175244BA" w14:textId="77777777" w:rsidR="00FB5300" w:rsidRPr="00A21474" w:rsidRDefault="00FB5300" w:rsidP="00FB5300">
      <w:pPr>
        <w:rPr>
          <w:b/>
          <w:bCs/>
          <w:sz w:val="22"/>
          <w:szCs w:val="22"/>
        </w:rPr>
      </w:pPr>
    </w:p>
    <w:p w14:paraId="2BDFC331" w14:textId="77777777" w:rsidR="00040D2A" w:rsidRPr="00A21474" w:rsidRDefault="00040D2A">
      <w:pPr>
        <w:rPr>
          <w:sz w:val="22"/>
          <w:szCs w:val="22"/>
        </w:rPr>
      </w:pPr>
    </w:p>
    <w:sectPr w:rsidR="00040D2A" w:rsidRPr="00A21474" w:rsidSect="00FB5300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417" w:right="1417" w:bottom="1417" w:left="1417" w:header="425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8C61" w14:textId="77777777" w:rsidR="00E40674" w:rsidRDefault="00E40674">
      <w:r>
        <w:separator/>
      </w:r>
    </w:p>
  </w:endnote>
  <w:endnote w:type="continuationSeparator" w:id="0">
    <w:p w14:paraId="517EECE6" w14:textId="77777777" w:rsidR="00E40674" w:rsidRDefault="00E4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980353"/>
      <w:docPartObj>
        <w:docPartGallery w:val="Page Numbers (Bottom of Page)"/>
        <w:docPartUnique/>
      </w:docPartObj>
    </w:sdtPr>
    <w:sdtContent>
      <w:p w14:paraId="23B3A8E3" w14:textId="62CEA007" w:rsidR="00040D2A" w:rsidRDefault="00FB5300" w:rsidP="00FB5300">
        <w:pPr>
          <w:pStyle w:val="Footer"/>
          <w:jc w:val="right"/>
        </w:pPr>
        <w:r w:rsidRPr="00934AF0">
          <w:rPr>
            <w:noProof/>
          </w:rPr>
          <w:drawing>
            <wp:inline distT="0" distB="0" distL="0" distR="0" wp14:anchorId="2BDE10F3" wp14:editId="013CFD0B">
              <wp:extent cx="1572895" cy="535940"/>
              <wp:effectExtent l="0" t="0" r="8255" b="0"/>
              <wp:docPr id="437879718" name="Picture 437879718" descr="Graphical user interface, text, applicatio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8" name="Picture 168" descr="Graphical user interface, text, applicatio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2895" cy="535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E62C03E" w14:textId="77777777" w:rsidR="00040D2A" w:rsidRDefault="00040D2A" w:rsidP="00E4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A387" w14:textId="3E1E6C7A" w:rsidR="00A8472A" w:rsidRDefault="00A8472A"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456AB" wp14:editId="38921D37">
              <wp:simplePos x="0" y="0"/>
              <wp:positionH relativeFrom="column">
                <wp:posOffset>-60040</wp:posOffset>
              </wp:positionH>
              <wp:positionV relativeFrom="paragraph">
                <wp:posOffset>90688</wp:posOffset>
              </wp:positionV>
              <wp:extent cx="4217437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1743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09AD4A" id="Straight Connector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7.15pt" to="32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" strokecolor="#a5a5a5 [3206]" strokeweight="1pt">
              <v:stroke joinstyle="miter"/>
            </v:line>
          </w:pict>
        </mc:Fallback>
      </mc:AlternateContent>
    </w:r>
  </w:p>
  <w:tbl>
    <w:tblPr>
      <w:tblStyle w:val="TableGrid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2693"/>
    </w:tblGrid>
    <w:tr w:rsidR="00FB5300" w14:paraId="0D040B58" w14:textId="77777777" w:rsidTr="00EB1AE3">
      <w:trPr>
        <w:trHeight w:val="574"/>
      </w:trPr>
      <w:tc>
        <w:tcPr>
          <w:tcW w:w="6805" w:type="dxa"/>
        </w:tcPr>
        <w:p w14:paraId="476C425D" w14:textId="77777777" w:rsidR="00FB5300" w:rsidRPr="00565184" w:rsidRDefault="00FB5300" w:rsidP="00FB5300">
          <w:pPr>
            <w:pStyle w:val="Footer1"/>
            <w:ind w:left="33"/>
            <w:jc w:val="left"/>
            <w:rPr>
              <w:rFonts w:cstheme="minorHAnsi"/>
              <w:color w:val="464646"/>
              <w:sz w:val="16"/>
              <w:szCs w:val="16"/>
              <w:shd w:val="clear" w:color="auto" w:fill="FFFFFF"/>
              <w:lang w:val="fr-FR"/>
            </w:rPr>
          </w:pPr>
          <w:r w:rsidRPr="00565184">
            <w:rPr>
              <w:rFonts w:cstheme="minorHAns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565184">
            <w:rPr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565184">
              <w:rPr>
                <w:rStyle w:val="Hyperlink"/>
                <w:sz w:val="16"/>
                <w:szCs w:val="16"/>
                <w:lang w:val="fr-FR"/>
              </w:rPr>
              <w:t xml:space="preserve">Attribution – Pas d’Utilisation Commerciale – Partage dans les Mêmes Conditions 4.0 International Creative Commons </w:t>
            </w:r>
            <w:r w:rsidRPr="00565184">
              <w:rPr>
                <w:rStyle w:val="Hyperlink"/>
                <w:sz w:val="16"/>
                <w:szCs w:val="16"/>
                <w:lang w:val="fr-FR"/>
              </w:rPr>
              <w:br/>
              <w:t>CC BY-NC-SA 4.0).</w:t>
            </w:r>
          </w:hyperlink>
          <w:r w:rsidRPr="00565184">
            <w:rPr>
              <w:rStyle w:val="Hyperlink"/>
              <w:sz w:val="16"/>
              <w:szCs w:val="16"/>
              <w:lang w:val="fr-FR"/>
            </w:rPr>
            <w:t xml:space="preserve"> </w:t>
          </w:r>
          <w:r w:rsidRPr="00565184">
            <w:rPr>
              <w:sz w:val="16"/>
              <w:szCs w:val="16"/>
              <w:lang w:val="fr-FR"/>
            </w:rPr>
            <w:t>Attribution : Activité or</w:t>
          </w:r>
          <w:r>
            <w:rPr>
              <w:sz w:val="16"/>
              <w:szCs w:val="16"/>
              <w:lang w:val="fr-FR"/>
            </w:rPr>
            <w:t>i</w:t>
          </w:r>
          <w:r w:rsidRPr="00565184">
            <w:rPr>
              <w:sz w:val="16"/>
              <w:szCs w:val="16"/>
              <w:lang w:val="fr-FR"/>
            </w:rPr>
            <w:t>ginale provenant de</w:t>
          </w:r>
        </w:p>
        <w:p w14:paraId="1F3ABCE2" w14:textId="77777777" w:rsidR="00FB5300" w:rsidRPr="00980D8A" w:rsidRDefault="00FB5300" w:rsidP="00FB5300">
          <w:pPr>
            <w:ind w:left="33"/>
            <w:rPr>
              <w:lang w:val="fr-FR"/>
            </w:rPr>
          </w:pPr>
          <w:r>
            <w:rPr>
              <w:rFonts w:cstheme="minorHAnsi"/>
              <w:sz w:val="16"/>
              <w:szCs w:val="16"/>
              <w:lang w:val="fr-FR"/>
            </w:rPr>
            <w:t>Gerber</w:t>
          </w:r>
          <w:r w:rsidRPr="00045BA2">
            <w:rPr>
              <w:rFonts w:cstheme="minorHAnsi"/>
              <w:sz w:val="16"/>
              <w:szCs w:val="16"/>
              <w:lang w:val="fr-FR"/>
            </w:rPr>
            <w:t xml:space="preserve"> </w:t>
          </w:r>
          <w:r>
            <w:rPr>
              <w:rFonts w:cstheme="minorHAnsi"/>
              <w:sz w:val="16"/>
              <w:szCs w:val="16"/>
              <w:lang w:val="fr-FR"/>
            </w:rPr>
            <w:t xml:space="preserve">Brigitte </w:t>
          </w:r>
          <w:r w:rsidRPr="00045BA2">
            <w:rPr>
              <w:rFonts w:cstheme="minorHAnsi"/>
              <w:sz w:val="16"/>
              <w:szCs w:val="16"/>
              <w:lang w:val="fr-FR"/>
            </w:rPr>
            <w:t>(</w:t>
          </w:r>
          <w:r w:rsidRPr="00980D8A">
            <w:rPr>
              <w:rFonts w:cstheme="minorHAnsi"/>
              <w:i/>
              <w:iCs/>
              <w:sz w:val="16"/>
              <w:szCs w:val="16"/>
              <w:lang w:val="fr-FR"/>
            </w:rPr>
            <w:t>et al.</w:t>
          </w:r>
          <w:r w:rsidRPr="00045BA2">
            <w:rPr>
              <w:rFonts w:cstheme="minorHAnsi"/>
              <w:sz w:val="16"/>
              <w:szCs w:val="16"/>
              <w:lang w:val="fr-FR"/>
            </w:rPr>
            <w:t>)</w:t>
          </w:r>
          <w:r w:rsidRPr="00D07C7D">
            <w:rPr>
              <w:rFonts w:cstheme="minorHAnsi"/>
              <w:sz w:val="16"/>
              <w:szCs w:val="16"/>
              <w:lang w:val="fr-FR"/>
            </w:rPr>
            <w:t xml:space="preserve">, </w:t>
          </w:r>
          <w:r w:rsidRPr="00173F53">
            <w:rPr>
              <w:rFonts w:cstheme="minorHAnsi"/>
              <w:i/>
              <w:iCs/>
              <w:sz w:val="16"/>
              <w:szCs w:val="16"/>
              <w:lang w:val="fr-FR"/>
            </w:rPr>
            <w:t>Développer des compétences enseignantes pour les approches plurielles</w:t>
          </w:r>
          <w:r w:rsidRPr="00D07C7D">
            <w:rPr>
              <w:rFonts w:cstheme="minorHAnsi"/>
              <w:sz w:val="16"/>
              <w:szCs w:val="16"/>
              <w:lang w:val="fr-FR"/>
            </w:rPr>
            <w:t xml:space="preserve">, Conseil de l'Europe (Centre européen pour les </w:t>
          </w:r>
          <w:r w:rsidRPr="00173F53">
            <w:rPr>
              <w:rFonts w:cstheme="minorHAnsi"/>
              <w:sz w:val="16"/>
              <w:szCs w:val="16"/>
              <w:lang w:val="fr-FR"/>
            </w:rPr>
            <w:t xml:space="preserve">langues vivantes), 2023, </w:t>
          </w:r>
          <w:hyperlink r:id="rId2" w:history="1">
            <w:r w:rsidRPr="00DE2DF9">
              <w:rPr>
                <w:rStyle w:val="Hyperlink"/>
                <w:sz w:val="16"/>
                <w:szCs w:val="16"/>
                <w:lang w:val="fr-FR"/>
              </w:rPr>
              <w:t>www.ecml.at/pluralisticteachercompetences</w:t>
            </w:r>
          </w:hyperlink>
          <w:r w:rsidRPr="00173F53">
            <w:rPr>
              <w:rStyle w:val="Hyperlink"/>
              <w:rFonts w:cstheme="minorHAnsi"/>
              <w:sz w:val="16"/>
              <w:szCs w:val="16"/>
              <w:lang w:val="fr-FR"/>
            </w:rPr>
            <w:t>.</w:t>
          </w:r>
        </w:p>
      </w:tc>
      <w:tc>
        <w:tcPr>
          <w:tcW w:w="2693" w:type="dxa"/>
        </w:tcPr>
        <w:p w14:paraId="2B6CEE70" w14:textId="77777777" w:rsidR="00FB5300" w:rsidRPr="00F42C71" w:rsidRDefault="00FB5300" w:rsidP="00FB5300">
          <w:pPr>
            <w:pStyle w:val="Footer1"/>
            <w:ind w:left="33"/>
            <w:jc w:val="right"/>
            <w:rPr>
              <w:sz w:val="16"/>
              <w:szCs w:val="20"/>
            </w:rPr>
          </w:pPr>
          <w:r w:rsidRPr="00934AF0">
            <w:rPr>
              <w:noProof/>
            </w:rPr>
            <w:drawing>
              <wp:inline distT="0" distB="0" distL="0" distR="0" wp14:anchorId="6F33DB79" wp14:editId="3377AD1D">
                <wp:extent cx="1572895" cy="535940"/>
                <wp:effectExtent l="0" t="0" r="8255" b="0"/>
                <wp:docPr id="26" name="Grafik 2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C2DBB" w14:textId="77777777" w:rsidR="00FB5300" w:rsidRDefault="00FB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F09" w14:textId="77777777" w:rsidR="00E40674" w:rsidRDefault="00E40674">
      <w:r>
        <w:separator/>
      </w:r>
    </w:p>
  </w:footnote>
  <w:footnote w:type="continuationSeparator" w:id="0">
    <w:p w14:paraId="3FE4B06C" w14:textId="77777777" w:rsidR="00E40674" w:rsidRDefault="00E4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736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D22C56" w14:textId="161272BD" w:rsidR="00FB5300" w:rsidRDefault="00FB530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F0789" w14:textId="77777777" w:rsidR="00FB5300" w:rsidRDefault="00FB5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AF3D" w14:textId="6DF31183" w:rsidR="00FB5300" w:rsidRDefault="00501198" w:rsidP="00FB5300">
    <w:pPr>
      <w:pStyle w:val="Header"/>
      <w:jc w:val="right"/>
    </w:pPr>
    <w:r>
      <w:rPr>
        <w:noProof/>
        <w14:ligatures w14:val="standardContextual"/>
      </w:rPr>
      <w:drawing>
        <wp:inline distT="0" distB="0" distL="0" distR="0" wp14:anchorId="20F3C07C" wp14:editId="422C0C1F">
          <wp:extent cx="895350" cy="569595"/>
          <wp:effectExtent l="0" t="0" r="6350" b="1905"/>
          <wp:docPr id="1358455243" name="Picture 1358455243" descr="A colorful hexagon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455243" name="Picture 1358455243" descr="A colorful hexagons with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FF3"/>
    <w:multiLevelType w:val="hybridMultilevel"/>
    <w:tmpl w:val="CD920550"/>
    <w:lvl w:ilvl="0" w:tplc="84843C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52512"/>
    <w:multiLevelType w:val="multilevel"/>
    <w:tmpl w:val="98B014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4A44C9"/>
    <w:multiLevelType w:val="hybridMultilevel"/>
    <w:tmpl w:val="352C212A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34512A"/>
    <w:multiLevelType w:val="hybridMultilevel"/>
    <w:tmpl w:val="A380D050"/>
    <w:lvl w:ilvl="0" w:tplc="D236FA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27267">
    <w:abstractNumId w:val="2"/>
  </w:num>
  <w:num w:numId="2" w16cid:durableId="1934776937">
    <w:abstractNumId w:val="1"/>
  </w:num>
  <w:num w:numId="3" w16cid:durableId="1471551811">
    <w:abstractNumId w:val="0"/>
  </w:num>
  <w:num w:numId="4" w16cid:durableId="1294291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DD"/>
    <w:rsid w:val="00011A2E"/>
    <w:rsid w:val="00022C64"/>
    <w:rsid w:val="0003560F"/>
    <w:rsid w:val="00040D2A"/>
    <w:rsid w:val="00060297"/>
    <w:rsid w:val="000831D7"/>
    <w:rsid w:val="000924AB"/>
    <w:rsid w:val="000964E1"/>
    <w:rsid w:val="000C767D"/>
    <w:rsid w:val="000D11A8"/>
    <w:rsid w:val="00124A1B"/>
    <w:rsid w:val="00127C62"/>
    <w:rsid w:val="001676C2"/>
    <w:rsid w:val="001A1C4D"/>
    <w:rsid w:val="001C6041"/>
    <w:rsid w:val="001E07B5"/>
    <w:rsid w:val="001F0855"/>
    <w:rsid w:val="0020116C"/>
    <w:rsid w:val="00216B6C"/>
    <w:rsid w:val="00265852"/>
    <w:rsid w:val="002F7CE7"/>
    <w:rsid w:val="00317740"/>
    <w:rsid w:val="00341119"/>
    <w:rsid w:val="003739DE"/>
    <w:rsid w:val="00375C2D"/>
    <w:rsid w:val="003868E6"/>
    <w:rsid w:val="003D16D8"/>
    <w:rsid w:val="003E3750"/>
    <w:rsid w:val="0040055D"/>
    <w:rsid w:val="004458A3"/>
    <w:rsid w:val="00472CD5"/>
    <w:rsid w:val="00501198"/>
    <w:rsid w:val="005832C9"/>
    <w:rsid w:val="005A1661"/>
    <w:rsid w:val="005B6607"/>
    <w:rsid w:val="005C6014"/>
    <w:rsid w:val="005E4DA4"/>
    <w:rsid w:val="005E72A2"/>
    <w:rsid w:val="005E7518"/>
    <w:rsid w:val="00617B39"/>
    <w:rsid w:val="00620275"/>
    <w:rsid w:val="00630FAE"/>
    <w:rsid w:val="006707E3"/>
    <w:rsid w:val="006A3A6A"/>
    <w:rsid w:val="006B4BDD"/>
    <w:rsid w:val="006E1AF8"/>
    <w:rsid w:val="00702C3D"/>
    <w:rsid w:val="00713FFE"/>
    <w:rsid w:val="007425C9"/>
    <w:rsid w:val="00755B28"/>
    <w:rsid w:val="00761AB7"/>
    <w:rsid w:val="007816CE"/>
    <w:rsid w:val="007A6154"/>
    <w:rsid w:val="007B6B0C"/>
    <w:rsid w:val="0080315D"/>
    <w:rsid w:val="008529AC"/>
    <w:rsid w:val="00857706"/>
    <w:rsid w:val="008746DD"/>
    <w:rsid w:val="008862B9"/>
    <w:rsid w:val="008908D3"/>
    <w:rsid w:val="008931C9"/>
    <w:rsid w:val="008A1795"/>
    <w:rsid w:val="008B266C"/>
    <w:rsid w:val="00904B81"/>
    <w:rsid w:val="00905A6A"/>
    <w:rsid w:val="00930BC8"/>
    <w:rsid w:val="00990A71"/>
    <w:rsid w:val="00995DF3"/>
    <w:rsid w:val="009A593C"/>
    <w:rsid w:val="009C371C"/>
    <w:rsid w:val="009E1F01"/>
    <w:rsid w:val="00A054CC"/>
    <w:rsid w:val="00A201F4"/>
    <w:rsid w:val="00A21474"/>
    <w:rsid w:val="00A608AD"/>
    <w:rsid w:val="00A61FE8"/>
    <w:rsid w:val="00A8472A"/>
    <w:rsid w:val="00A958D7"/>
    <w:rsid w:val="00AA2643"/>
    <w:rsid w:val="00AC528E"/>
    <w:rsid w:val="00AE186F"/>
    <w:rsid w:val="00B1461D"/>
    <w:rsid w:val="00B17774"/>
    <w:rsid w:val="00B33706"/>
    <w:rsid w:val="00B57323"/>
    <w:rsid w:val="00B61448"/>
    <w:rsid w:val="00B76387"/>
    <w:rsid w:val="00BB373F"/>
    <w:rsid w:val="00BC0B97"/>
    <w:rsid w:val="00C03359"/>
    <w:rsid w:val="00C042B8"/>
    <w:rsid w:val="00C0518C"/>
    <w:rsid w:val="00C30C08"/>
    <w:rsid w:val="00C36459"/>
    <w:rsid w:val="00C374D4"/>
    <w:rsid w:val="00C7333F"/>
    <w:rsid w:val="00CA71DB"/>
    <w:rsid w:val="00CB114C"/>
    <w:rsid w:val="00CE71CA"/>
    <w:rsid w:val="00CF0296"/>
    <w:rsid w:val="00CF7AD1"/>
    <w:rsid w:val="00D16019"/>
    <w:rsid w:val="00D21FFA"/>
    <w:rsid w:val="00D51773"/>
    <w:rsid w:val="00D756DE"/>
    <w:rsid w:val="00D82225"/>
    <w:rsid w:val="00D875AE"/>
    <w:rsid w:val="00DA474B"/>
    <w:rsid w:val="00DB1220"/>
    <w:rsid w:val="00DC473D"/>
    <w:rsid w:val="00DC4994"/>
    <w:rsid w:val="00E05FBE"/>
    <w:rsid w:val="00E126E4"/>
    <w:rsid w:val="00E37D83"/>
    <w:rsid w:val="00E40674"/>
    <w:rsid w:val="00E424E7"/>
    <w:rsid w:val="00E547AD"/>
    <w:rsid w:val="00EB3F1C"/>
    <w:rsid w:val="00F352F2"/>
    <w:rsid w:val="00F4070A"/>
    <w:rsid w:val="00F47D3A"/>
    <w:rsid w:val="00F77B2B"/>
    <w:rsid w:val="00F92731"/>
    <w:rsid w:val="00FA55E6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878C3"/>
  <w15:chartTrackingRefBased/>
  <w15:docId w15:val="{901ED041-FAF4-704E-9448-9BEB00D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D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33F"/>
    <w:pPr>
      <w:keepNext/>
      <w:keepLines/>
      <w:spacing w:before="100" w:beforeAutospacing="1" w:after="100" w:afterAutospacing="1" w:line="252" w:lineRule="auto"/>
      <w:jc w:val="both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46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DD"/>
    <w:rPr>
      <w:kern w:val="0"/>
      <w14:ligatures w14:val="none"/>
    </w:rPr>
  </w:style>
  <w:style w:type="table" w:styleId="TableGrid">
    <w:name w:val="Table Grid"/>
    <w:basedOn w:val="TableNormal"/>
    <w:uiPriority w:val="39"/>
    <w:rsid w:val="008746D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74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6DD"/>
    <w:rPr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74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6D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7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7AD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B61448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364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00"/>
    <w:rPr>
      <w:kern w:val="0"/>
      <w14:ligatures w14:val="none"/>
    </w:rPr>
  </w:style>
  <w:style w:type="paragraph" w:customStyle="1" w:styleId="Footer1">
    <w:name w:val="Footer1"/>
    <w:basedOn w:val="Footer"/>
    <w:link w:val="footerChar0"/>
    <w:qFormat/>
    <w:rsid w:val="00FB5300"/>
    <w:pPr>
      <w:ind w:left="-108"/>
      <w:jc w:val="both"/>
    </w:pPr>
    <w:rPr>
      <w:rFonts w:eastAsiaTheme="minorEastAsia"/>
      <w:sz w:val="18"/>
      <w:szCs w:val="22"/>
      <w:lang w:val="en-GB"/>
    </w:rPr>
  </w:style>
  <w:style w:type="character" w:customStyle="1" w:styleId="footerChar0">
    <w:name w:val="footer Char"/>
    <w:basedOn w:val="FooterChar"/>
    <w:link w:val="Footer1"/>
    <w:rsid w:val="00FB5300"/>
    <w:rPr>
      <w:rFonts w:eastAsiaTheme="minorEastAsia"/>
      <w:kern w:val="0"/>
      <w:sz w:val="18"/>
      <w:szCs w:val="22"/>
      <w:lang w:val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B53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333F"/>
    <w:rPr>
      <w:rFonts w:ascii="Century Gothic" w:eastAsiaTheme="majorEastAsia" w:hAnsi="Century Gothic" w:cstheme="majorBidi"/>
      <w:b/>
      <w:bCs/>
      <w:spacing w:val="4"/>
      <w:kern w:val="0"/>
      <w:sz w:val="36"/>
      <w:szCs w:val="28"/>
      <w:lang w:val="en-US"/>
      <w14:ligatures w14:val="none"/>
    </w:rPr>
  </w:style>
  <w:style w:type="table" w:styleId="ListTable2-Accent2">
    <w:name w:val="List Table 2 Accent 2"/>
    <w:basedOn w:val="TableNormal"/>
    <w:uiPriority w:val="47"/>
    <w:rsid w:val="00C7333F"/>
    <w:pPr>
      <w:jc w:val="both"/>
    </w:pPr>
    <w:rPr>
      <w:rFonts w:eastAsiaTheme="minorEastAsia"/>
      <w:kern w:val="0"/>
      <w:sz w:val="22"/>
      <w:szCs w:val="22"/>
      <w:lang w:val="de-AT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maledive.ecml.at/Studymaterials/Individual/Visualisinglanguagerepertoires/Examples/tabid/3636/Default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m.coe.int/CoERMPublicCommonSearchServices/DisplayDCTMContent?documentId=09000016806ae621" TargetMode="External"/><Relationship Id="rId17" Type="http://schemas.openxmlformats.org/officeDocument/2006/relationships/hyperlink" Target="https://hal.science/hal-013902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kdaf.ch/html/rundbrief/rbpdfs/61_Mehrsprachigkeit_Sprachenportraits.pdf" TargetMode="External"/><Relationship Id="rId20" Type="http://schemas.openxmlformats.org/officeDocument/2006/relationships/hyperlink" Target="https://maledive.ecml.at/Portals/45/Language_biography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cademia.edu/35988562/WP236_Busch_2018_The_language_portrait_inmultilingualism_research_Theoretical_and_methodological_considerations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maledive.ecml.at/Portals/45/Language_biography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researchgate.net/publication/233209404_School_Language_Profiles_Valorizing_Linguistic_Resources_in_Heteroglossic_Situations_in_South_Afric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ecml.at/pluralisticteachercompetences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E973-1656-4DBC-9C73-DF8E1A9C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1507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Gerber</dc:creator>
  <cp:keywords/>
  <dc:description/>
  <cp:lastModifiedBy>Billie Baltatzis</cp:lastModifiedBy>
  <cp:revision>5</cp:revision>
  <dcterms:created xsi:type="dcterms:W3CDTF">2023-10-20T07:38:00Z</dcterms:created>
  <dcterms:modified xsi:type="dcterms:W3CDTF">2023-10-20T13:13:00Z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d23fd4f152e0943521ff49fcd4b181ef6a2be13691030044aef975174f176e06</vt:lpwstr>
  </property>
</Properties>
</file>