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FBAA" w14:textId="5B01750D" w:rsidR="007A10CC" w:rsidRPr="007A10CC" w:rsidRDefault="007A10CC" w:rsidP="007A10CC">
      <w:pPr>
        <w:jc w:val="center"/>
        <w:rPr>
          <w:rFonts w:ascii="Century Gothic" w:eastAsiaTheme="minorHAnsi" w:hAnsi="Century Gothic" w:cstheme="minorBidi"/>
          <w:b/>
          <w:bCs/>
          <w:sz w:val="40"/>
          <w:szCs w:val="40"/>
          <w:lang w:val="fr-CH" w:eastAsia="en-US"/>
        </w:rPr>
      </w:pPr>
      <w:r w:rsidRPr="007A10CC">
        <w:rPr>
          <w:rFonts w:ascii="Century Gothic" w:eastAsiaTheme="minorHAnsi" w:hAnsi="Century Gothic" w:cstheme="minorBidi"/>
          <w:b/>
          <w:bCs/>
          <w:sz w:val="40"/>
          <w:szCs w:val="40"/>
          <w:lang w:val="fr-CH" w:eastAsia="en-US"/>
        </w:rPr>
        <w:t>Éducation plurilingue et interculturelle et collaboration entre enseignant· es</w:t>
      </w:r>
    </w:p>
    <w:p w14:paraId="7E14F2EE" w14:textId="56E319F0" w:rsidR="007A10CC" w:rsidRDefault="007A10CC" w:rsidP="007A10CC">
      <w:pPr>
        <w:rPr>
          <w:rFonts w:ascii="Century Gothic" w:hAnsi="Century Gothic" w:cstheme="minorHAnsi"/>
          <w:lang w:val="fr-FR"/>
        </w:rPr>
      </w:pPr>
      <w:r>
        <w:rPr>
          <w:rFonts w:ascii="Century Gothic" w:hAnsi="Century Gothic" w:cstheme="minorHAnsi"/>
          <w:noProof/>
          <w:lang w:val="fr-FR"/>
        </w:rPr>
        <w:drawing>
          <wp:anchor distT="0" distB="0" distL="114300" distR="114300" simplePos="0" relativeHeight="251660288" behindDoc="1" locked="0" layoutInCell="1" allowOverlap="1" wp14:anchorId="36DE9E82" wp14:editId="25A05E6F">
            <wp:simplePos x="0" y="0"/>
            <wp:positionH relativeFrom="margin">
              <wp:posOffset>584666</wp:posOffset>
            </wp:positionH>
            <wp:positionV relativeFrom="margin">
              <wp:posOffset>726620</wp:posOffset>
            </wp:positionV>
            <wp:extent cx="365272" cy="390525"/>
            <wp:effectExtent l="0" t="0" r="3175"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272" cy="390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59264" behindDoc="0" locked="0" layoutInCell="1" allowOverlap="1" wp14:anchorId="11BD054B" wp14:editId="0791AE8D">
            <wp:simplePos x="0" y="0"/>
            <wp:positionH relativeFrom="margin">
              <wp:posOffset>1076325</wp:posOffset>
            </wp:positionH>
            <wp:positionV relativeFrom="margin">
              <wp:posOffset>728526</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68FA39DC" w14:textId="7D805A11" w:rsidR="00221074" w:rsidRPr="007A10CC" w:rsidRDefault="007A10CC" w:rsidP="007A10CC">
      <w:pPr>
        <w:spacing w:after="160" w:line="252" w:lineRule="auto"/>
        <w:jc w:val="center"/>
        <w:rPr>
          <w:rFonts w:ascii="Century Gothic" w:eastAsiaTheme="minorEastAsia" w:hAnsi="Century Gothic" w:cstheme="minorHAnsi"/>
          <w:szCs w:val="22"/>
          <w:lang w:val="fr-FR" w:eastAsia="en-US"/>
        </w:rPr>
      </w:pPr>
      <w:r w:rsidRPr="007A10CC">
        <w:rPr>
          <w:rFonts w:ascii="Century Gothic" w:eastAsiaTheme="minorEastAsia" w:hAnsi="Century Gothic" w:cstheme="minorHAnsi"/>
          <w:szCs w:val="22"/>
          <w:lang w:val="fr-FR" w:eastAsia="en-US"/>
        </w:rPr>
        <w:t xml:space="preserve">Documents pour </w:t>
      </w:r>
      <w:proofErr w:type="gramStart"/>
      <w:r w:rsidRPr="007A10CC">
        <w:rPr>
          <w:rFonts w:ascii="Century Gothic" w:eastAsiaTheme="minorEastAsia" w:hAnsi="Century Gothic" w:cstheme="minorHAnsi"/>
          <w:szCs w:val="22"/>
          <w:lang w:val="fr-FR" w:eastAsia="en-US"/>
        </w:rPr>
        <w:t>les participant</w:t>
      </w:r>
      <w:proofErr w:type="gramEnd"/>
      <w:r w:rsidRPr="007A10CC">
        <w:rPr>
          <w:rFonts w:ascii="Century Gothic" w:eastAsiaTheme="minorEastAsia" w:hAnsi="Century Gothic" w:cstheme="minorHAnsi"/>
          <w:szCs w:val="22"/>
          <w:lang w:val="fr-FR" w:eastAsia="en-US"/>
        </w:rPr>
        <w:t>· es</w:t>
      </w:r>
    </w:p>
    <w:p w14:paraId="622FF169" w14:textId="3EEE3C18" w:rsidR="00221074" w:rsidRPr="00281347" w:rsidRDefault="00221074" w:rsidP="00221074">
      <w:pPr>
        <w:jc w:val="both"/>
        <w:rPr>
          <w:rFonts w:ascii="Times New Roman" w:hAnsi="Times New Roman" w:cs="Times New Roman"/>
          <w:b/>
          <w:lang w:val="fr-FR"/>
        </w:rPr>
      </w:pPr>
    </w:p>
    <w:p w14:paraId="644D2C46" w14:textId="77777777" w:rsidR="00221074" w:rsidRPr="00281347" w:rsidRDefault="00221074" w:rsidP="00221074">
      <w:pPr>
        <w:jc w:val="both"/>
        <w:rPr>
          <w:rFonts w:ascii="Times New Roman" w:hAnsi="Times New Roman" w:cs="Times New Roman"/>
          <w:lang w:val="fr-FR"/>
        </w:rPr>
      </w:pPr>
    </w:p>
    <w:p w14:paraId="7FA85F2E" w14:textId="12CC38BC" w:rsidR="00221074" w:rsidRPr="00952CE4" w:rsidRDefault="00221074" w:rsidP="00221074">
      <w:pPr>
        <w:pStyle w:val="ListParagraph"/>
        <w:ind w:left="0"/>
        <w:jc w:val="both"/>
        <w:rPr>
          <w:rFonts w:ascii="Century Gothic" w:hAnsi="Century Gothic" w:cstheme="minorHAnsi"/>
          <w:b/>
          <w:bCs/>
          <w:sz w:val="28"/>
          <w:szCs w:val="28"/>
          <w:lang w:val="fr-FR"/>
        </w:rPr>
      </w:pPr>
      <w:r w:rsidRPr="00952CE4">
        <w:rPr>
          <w:rFonts w:ascii="Century Gothic" w:hAnsi="Century Gothic" w:cstheme="minorHAnsi"/>
          <w:b/>
          <w:bCs/>
          <w:sz w:val="28"/>
          <w:szCs w:val="28"/>
          <w:lang w:val="fr-FR"/>
        </w:rPr>
        <w:t xml:space="preserve">Étape I. </w:t>
      </w:r>
      <w:r w:rsidRPr="00952CE4">
        <w:rPr>
          <w:rFonts w:ascii="Century Gothic" w:hAnsi="Century Gothic" w:cstheme="minorHAnsi"/>
          <w:b/>
          <w:sz w:val="28"/>
          <w:szCs w:val="28"/>
          <w:lang w:val="fr-FR"/>
        </w:rPr>
        <w:t>Réflexion</w:t>
      </w:r>
      <w:r w:rsidRPr="00952CE4">
        <w:rPr>
          <w:rFonts w:ascii="Century Gothic" w:hAnsi="Century Gothic" w:cstheme="minorHAnsi"/>
          <w:bCs/>
          <w:sz w:val="28"/>
          <w:szCs w:val="28"/>
          <w:lang w:val="fr-FR"/>
        </w:rPr>
        <w:t xml:space="preserve"> </w:t>
      </w:r>
      <w:r w:rsidRPr="00952CE4">
        <w:rPr>
          <w:rFonts w:ascii="Century Gothic" w:hAnsi="Century Gothic" w:cstheme="minorHAnsi"/>
          <w:b/>
          <w:bCs/>
          <w:sz w:val="28"/>
          <w:szCs w:val="28"/>
          <w:lang w:val="fr-FR"/>
        </w:rPr>
        <w:t xml:space="preserve">sur sa propre conception de </w:t>
      </w:r>
      <w:r w:rsidR="00464BAE">
        <w:rPr>
          <w:rFonts w:ascii="Century Gothic" w:hAnsi="Century Gothic" w:cstheme="minorHAnsi"/>
          <w:b/>
          <w:bCs/>
          <w:sz w:val="28"/>
          <w:szCs w:val="28"/>
          <w:lang w:val="fr-FR"/>
        </w:rPr>
        <w:t xml:space="preserve">la </w:t>
      </w:r>
      <w:r w:rsidRPr="00952CE4">
        <w:rPr>
          <w:rFonts w:ascii="Century Gothic" w:hAnsi="Century Gothic" w:cstheme="minorHAnsi"/>
          <w:b/>
          <w:bCs/>
          <w:sz w:val="28"/>
          <w:szCs w:val="28"/>
          <w:lang w:val="fr-FR"/>
        </w:rPr>
        <w:t>collaboration</w:t>
      </w:r>
    </w:p>
    <w:p w14:paraId="79585B2C" w14:textId="77777777" w:rsidR="00221074" w:rsidRPr="005C1517" w:rsidRDefault="00221074" w:rsidP="00221074">
      <w:pPr>
        <w:pStyle w:val="ListParagraph"/>
        <w:jc w:val="both"/>
        <w:rPr>
          <w:rFonts w:asciiTheme="minorHAnsi" w:hAnsiTheme="minorHAnsi" w:cstheme="minorHAnsi"/>
          <w:lang w:val="fr-FR"/>
        </w:rPr>
      </w:pPr>
    </w:p>
    <w:p w14:paraId="4DAEA3BD" w14:textId="77777777" w:rsidR="00221074" w:rsidRPr="005C1517" w:rsidRDefault="00221074" w:rsidP="00221074">
      <w:pPr>
        <w:pStyle w:val="ListParagraph"/>
        <w:ind w:left="0"/>
        <w:jc w:val="both"/>
        <w:rPr>
          <w:rFonts w:asciiTheme="minorHAnsi" w:hAnsiTheme="minorHAnsi" w:cstheme="minorHAnsi"/>
          <w:lang w:val="fr-FR"/>
        </w:rPr>
      </w:pPr>
      <w:r w:rsidRPr="005C1517">
        <w:rPr>
          <w:rFonts w:asciiTheme="minorHAnsi" w:hAnsiTheme="minorHAnsi" w:cstheme="minorHAnsi"/>
          <w:lang w:val="fr-FR"/>
        </w:rPr>
        <w:t xml:space="preserve">I a. Réfléchissez individuellement sur la notion de collaboration entre </w:t>
      </w:r>
      <w:proofErr w:type="spellStart"/>
      <w:r w:rsidRPr="005C1517">
        <w:rPr>
          <w:rFonts w:asciiTheme="minorHAnsi" w:hAnsiTheme="minorHAnsi" w:cstheme="minorHAnsi"/>
          <w:color w:val="000000" w:themeColor="text1"/>
          <w:kern w:val="24"/>
          <w:lang w:val="fr-FR"/>
        </w:rPr>
        <w:t>enseignant·es</w:t>
      </w:r>
      <w:proofErr w:type="spellEnd"/>
      <w:r w:rsidRPr="005C1517">
        <w:rPr>
          <w:rFonts w:asciiTheme="minorHAnsi" w:hAnsiTheme="minorHAnsi" w:cstheme="minorHAnsi"/>
          <w:color w:val="000000" w:themeColor="text1"/>
          <w:kern w:val="24"/>
          <w:lang w:val="fr-FR"/>
        </w:rPr>
        <w:t xml:space="preserve"> </w:t>
      </w:r>
      <w:r w:rsidRPr="005C1517">
        <w:rPr>
          <w:rFonts w:asciiTheme="minorHAnsi" w:hAnsiTheme="minorHAnsi" w:cstheme="minorHAnsi"/>
          <w:lang w:val="fr-FR"/>
        </w:rPr>
        <w:t xml:space="preserve">et donnez votre propre définition. </w:t>
      </w:r>
    </w:p>
    <w:p w14:paraId="3FCC7422" w14:textId="77777777" w:rsidR="00221074" w:rsidRPr="005C1517" w:rsidRDefault="00221074" w:rsidP="00221074">
      <w:pPr>
        <w:pStyle w:val="ListParagraph"/>
        <w:ind w:left="0"/>
        <w:jc w:val="both"/>
        <w:rPr>
          <w:rFonts w:asciiTheme="minorHAnsi" w:hAnsiTheme="minorHAnsi" w:cstheme="minorHAnsi"/>
          <w:lang w:val="fr-FR"/>
        </w:rPr>
      </w:pPr>
      <w:r w:rsidRPr="005C1517">
        <w:rPr>
          <w:rFonts w:asciiTheme="minorHAnsi" w:hAnsiTheme="minorHAnsi" w:cstheme="minorHAnsi"/>
          <w:lang w:val="fr-FR"/>
        </w:rPr>
        <w:t>I b. Partagez vos réflexions avec vos collègues et comparez les différentes définitions.</w:t>
      </w:r>
    </w:p>
    <w:p w14:paraId="21901A77" w14:textId="1D375E6C" w:rsidR="00221074" w:rsidRPr="005C1517" w:rsidRDefault="00221074" w:rsidP="00162902">
      <w:pPr>
        <w:pStyle w:val="ListParagraph"/>
        <w:ind w:left="0"/>
        <w:rPr>
          <w:rFonts w:asciiTheme="minorHAnsi" w:hAnsiTheme="minorHAnsi" w:cstheme="minorHAnsi"/>
          <w:lang w:val="fr-FR"/>
        </w:rPr>
      </w:pPr>
      <w:r w:rsidRPr="005C1517">
        <w:rPr>
          <w:rFonts w:asciiTheme="minorHAnsi" w:hAnsiTheme="minorHAnsi" w:cstheme="minorHAnsi"/>
          <w:lang w:val="fr-FR"/>
        </w:rPr>
        <w:t>I</w:t>
      </w:r>
      <w:r w:rsidR="00A831F5" w:rsidRPr="005C1517">
        <w:rPr>
          <w:rFonts w:asciiTheme="minorHAnsi" w:hAnsiTheme="minorHAnsi" w:cstheme="minorHAnsi"/>
          <w:lang w:val="fr-FR"/>
        </w:rPr>
        <w:t xml:space="preserve"> </w:t>
      </w:r>
      <w:r w:rsidRPr="005C1517">
        <w:rPr>
          <w:rFonts w:asciiTheme="minorHAnsi" w:hAnsiTheme="minorHAnsi" w:cstheme="minorHAnsi"/>
          <w:lang w:val="fr-FR"/>
        </w:rPr>
        <w:t>c. Travaillez ensemble pour vous accorder sur une définition partagée contenant les caractéristiques principales de la notion de collaboration.</w:t>
      </w:r>
    </w:p>
    <w:p w14:paraId="3054001A" w14:textId="77777777" w:rsidR="00221074" w:rsidRPr="005C1517" w:rsidRDefault="00221074" w:rsidP="00221074">
      <w:pPr>
        <w:jc w:val="both"/>
        <w:rPr>
          <w:rFonts w:asciiTheme="minorHAnsi" w:hAnsiTheme="minorHAnsi" w:cstheme="minorHAnsi"/>
          <w:lang w:val="fr-FR"/>
        </w:rPr>
      </w:pPr>
    </w:p>
    <w:p w14:paraId="2194BA1E" w14:textId="77777777" w:rsidR="00221074" w:rsidRPr="00952CE4" w:rsidRDefault="00221074" w:rsidP="00952CE4">
      <w:pPr>
        <w:pStyle w:val="ListParagraph"/>
        <w:ind w:left="0"/>
        <w:jc w:val="both"/>
        <w:rPr>
          <w:rFonts w:ascii="Century Gothic" w:hAnsi="Century Gothic" w:cstheme="minorHAnsi"/>
          <w:b/>
          <w:bCs/>
          <w:sz w:val="28"/>
          <w:szCs w:val="28"/>
          <w:lang w:val="fr-FR"/>
        </w:rPr>
      </w:pPr>
      <w:r w:rsidRPr="00952CE4">
        <w:rPr>
          <w:rFonts w:ascii="Century Gothic" w:hAnsi="Century Gothic" w:cstheme="minorHAnsi"/>
          <w:b/>
          <w:bCs/>
          <w:sz w:val="28"/>
          <w:szCs w:val="28"/>
          <w:lang w:val="fr-FR"/>
        </w:rPr>
        <w:t>Étape II. Prise de connaissance de quelques définitions de la notion de collaboration en éducation</w:t>
      </w:r>
    </w:p>
    <w:p w14:paraId="61B4CE1D" w14:textId="77777777" w:rsidR="00221074" w:rsidRPr="005C1517" w:rsidRDefault="00221074" w:rsidP="00221074">
      <w:pPr>
        <w:jc w:val="both"/>
        <w:rPr>
          <w:rFonts w:asciiTheme="minorHAnsi" w:hAnsiTheme="minorHAnsi" w:cstheme="minorHAnsi"/>
          <w:lang w:val="fr-FR"/>
        </w:rPr>
      </w:pPr>
    </w:p>
    <w:p w14:paraId="705417BB"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II a. Lisez les deux textes suivants.</w:t>
      </w:r>
    </w:p>
    <w:p w14:paraId="651F6208"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Le premier présente les résultats d’une enquête menée en Italie en 2017 auprès d’</w:t>
      </w:r>
      <w:proofErr w:type="spellStart"/>
      <w:r w:rsidRPr="005C1517">
        <w:rPr>
          <w:rFonts w:asciiTheme="minorHAnsi" w:hAnsiTheme="minorHAnsi" w:cstheme="minorHAnsi"/>
          <w:color w:val="000000" w:themeColor="text1"/>
          <w:kern w:val="24"/>
          <w:lang w:val="fr-FR"/>
        </w:rPr>
        <w:t>enseignant·es</w:t>
      </w:r>
      <w:proofErr w:type="spellEnd"/>
      <w:r w:rsidRPr="005C1517">
        <w:rPr>
          <w:rFonts w:asciiTheme="minorHAnsi" w:hAnsiTheme="minorHAnsi" w:cstheme="minorHAnsi"/>
          <w:color w:val="000000" w:themeColor="text1"/>
          <w:kern w:val="24"/>
          <w:lang w:val="fr-FR"/>
        </w:rPr>
        <w:t xml:space="preserve"> </w:t>
      </w:r>
      <w:r w:rsidRPr="005C1517">
        <w:rPr>
          <w:rFonts w:asciiTheme="minorHAnsi" w:hAnsiTheme="minorHAnsi" w:cstheme="minorHAnsi"/>
          <w:lang w:val="fr-FR"/>
        </w:rPr>
        <w:t xml:space="preserve">du secondaire concernant leurs conceptions de la collaboration. Dans le cadre d'un entretien semi-structuré administré par écrit en ligne, les </w:t>
      </w:r>
      <w:proofErr w:type="spellStart"/>
      <w:r w:rsidRPr="005C1517">
        <w:rPr>
          <w:rFonts w:asciiTheme="minorHAnsi" w:hAnsiTheme="minorHAnsi" w:cstheme="minorHAnsi"/>
          <w:color w:val="000000" w:themeColor="text1"/>
          <w:kern w:val="24"/>
          <w:lang w:val="fr-FR"/>
        </w:rPr>
        <w:t>enseignant·es</w:t>
      </w:r>
      <w:proofErr w:type="spellEnd"/>
      <w:r w:rsidRPr="005C1517">
        <w:rPr>
          <w:rFonts w:asciiTheme="minorHAnsi" w:hAnsiTheme="minorHAnsi" w:cstheme="minorHAnsi"/>
          <w:color w:val="000000" w:themeColor="text1"/>
          <w:kern w:val="24"/>
          <w:lang w:val="fr-FR"/>
        </w:rPr>
        <w:t xml:space="preserve"> </w:t>
      </w:r>
      <w:r w:rsidRPr="005C1517">
        <w:rPr>
          <w:rFonts w:asciiTheme="minorHAnsi" w:hAnsiTheme="minorHAnsi" w:cstheme="minorHAnsi"/>
          <w:lang w:val="fr-FR"/>
        </w:rPr>
        <w:t xml:space="preserve">étaient </w:t>
      </w:r>
      <w:proofErr w:type="spellStart"/>
      <w:r w:rsidRPr="005C1517">
        <w:rPr>
          <w:rFonts w:asciiTheme="minorHAnsi" w:hAnsiTheme="minorHAnsi" w:cstheme="minorHAnsi"/>
          <w:lang w:val="fr-FR"/>
        </w:rPr>
        <w:t>invité</w:t>
      </w:r>
      <w:r w:rsidRPr="005C1517">
        <w:rPr>
          <w:rFonts w:asciiTheme="minorHAnsi" w:hAnsiTheme="minorHAnsi" w:cstheme="minorHAnsi"/>
          <w:color w:val="000000" w:themeColor="text1"/>
          <w:kern w:val="24"/>
          <w:lang w:val="fr-FR"/>
        </w:rPr>
        <w:t>·es</w:t>
      </w:r>
      <w:proofErr w:type="spellEnd"/>
    </w:p>
    <w:p w14:paraId="0000CBEA" w14:textId="77777777" w:rsidR="00221074" w:rsidRPr="005C1517" w:rsidRDefault="00221074" w:rsidP="00221074">
      <w:pPr>
        <w:pStyle w:val="ListParagraph"/>
        <w:numPr>
          <w:ilvl w:val="0"/>
          <w:numId w:val="1"/>
        </w:numPr>
        <w:jc w:val="both"/>
        <w:rPr>
          <w:rFonts w:asciiTheme="minorHAnsi" w:hAnsiTheme="minorHAnsi" w:cstheme="minorHAnsi"/>
          <w:lang w:val="fr-FR"/>
        </w:rPr>
      </w:pPr>
      <w:proofErr w:type="gramStart"/>
      <w:r w:rsidRPr="005C1517">
        <w:rPr>
          <w:rFonts w:asciiTheme="minorHAnsi" w:hAnsiTheme="minorHAnsi" w:cstheme="minorHAnsi"/>
          <w:lang w:val="fr-FR"/>
        </w:rPr>
        <w:t>à</w:t>
      </w:r>
      <w:proofErr w:type="gramEnd"/>
      <w:r w:rsidRPr="005C1517">
        <w:rPr>
          <w:rFonts w:asciiTheme="minorHAnsi" w:hAnsiTheme="minorHAnsi" w:cstheme="minorHAnsi"/>
          <w:lang w:val="fr-FR"/>
        </w:rPr>
        <w:t xml:space="preserve"> donner une définition de la « collaboration » </w:t>
      </w:r>
    </w:p>
    <w:p w14:paraId="399B7EEA" w14:textId="77777777" w:rsidR="00221074" w:rsidRPr="005C1517" w:rsidRDefault="00221074" w:rsidP="00221074">
      <w:pPr>
        <w:pStyle w:val="ListParagraph"/>
        <w:numPr>
          <w:ilvl w:val="0"/>
          <w:numId w:val="1"/>
        </w:numPr>
        <w:jc w:val="both"/>
        <w:rPr>
          <w:rFonts w:asciiTheme="minorHAnsi" w:hAnsiTheme="minorHAnsi" w:cstheme="minorHAnsi"/>
          <w:lang w:val="fr-FR"/>
        </w:rPr>
      </w:pPr>
      <w:proofErr w:type="gramStart"/>
      <w:r w:rsidRPr="005C1517">
        <w:rPr>
          <w:rFonts w:asciiTheme="minorHAnsi" w:hAnsiTheme="minorHAnsi" w:cstheme="minorHAnsi"/>
          <w:lang w:val="fr-FR"/>
        </w:rPr>
        <w:t>à</w:t>
      </w:r>
      <w:proofErr w:type="gramEnd"/>
      <w:r w:rsidRPr="005C1517">
        <w:rPr>
          <w:rFonts w:asciiTheme="minorHAnsi" w:hAnsiTheme="minorHAnsi" w:cstheme="minorHAnsi"/>
          <w:lang w:val="fr-FR"/>
        </w:rPr>
        <w:t xml:space="preserve"> indiquer les pratiques de classe qui témoignent d'une collaboration entre les </w:t>
      </w:r>
      <w:proofErr w:type="spellStart"/>
      <w:r w:rsidRPr="005C1517">
        <w:rPr>
          <w:rFonts w:asciiTheme="minorHAnsi" w:hAnsiTheme="minorHAnsi" w:cstheme="minorHAnsi"/>
          <w:color w:val="000000" w:themeColor="text1"/>
          <w:kern w:val="24"/>
          <w:lang w:val="fr-FR"/>
        </w:rPr>
        <w:t>enseignant·es</w:t>
      </w:r>
      <w:proofErr w:type="spellEnd"/>
      <w:r w:rsidRPr="005C1517">
        <w:rPr>
          <w:rFonts w:asciiTheme="minorHAnsi" w:hAnsiTheme="minorHAnsi" w:cstheme="minorHAnsi"/>
          <w:lang w:val="fr-FR"/>
        </w:rPr>
        <w:t>.</w:t>
      </w:r>
    </w:p>
    <w:p w14:paraId="5D0578DB" w14:textId="38198214"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Le deuxième est extrait d’un article publié dans la revue ALSIC en 2022 sur la (télé)collaboration. </w:t>
      </w:r>
    </w:p>
    <w:p w14:paraId="35FA554E" w14:textId="77777777" w:rsidR="00221074" w:rsidRPr="005C1517" w:rsidRDefault="00221074" w:rsidP="00221074">
      <w:pPr>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9056"/>
      </w:tblGrid>
      <w:tr w:rsidR="00221074" w:rsidRPr="005C1517" w14:paraId="6C57B912" w14:textId="77777777" w:rsidTr="006970E8">
        <w:trPr>
          <w:trHeight w:val="866"/>
        </w:trPr>
        <w:tc>
          <w:tcPr>
            <w:tcW w:w="13996" w:type="dxa"/>
          </w:tcPr>
          <w:p w14:paraId="5FA772D1" w14:textId="77777777" w:rsidR="00221074" w:rsidRPr="005C1517" w:rsidRDefault="00221074" w:rsidP="006970E8">
            <w:pPr>
              <w:spacing w:line="276" w:lineRule="auto"/>
              <w:jc w:val="both"/>
              <w:rPr>
                <w:rFonts w:asciiTheme="minorHAnsi" w:hAnsiTheme="minorHAnsi" w:cstheme="minorHAnsi"/>
                <w:b/>
                <w:bCs/>
                <w:sz w:val="24"/>
                <w:szCs w:val="24"/>
                <w:lang w:val="fr-CH"/>
              </w:rPr>
            </w:pPr>
            <w:r w:rsidRPr="005C1517">
              <w:rPr>
                <w:rFonts w:asciiTheme="minorHAnsi" w:hAnsiTheme="minorHAnsi" w:cstheme="minorHAnsi"/>
                <w:b/>
                <w:bCs/>
                <w:sz w:val="24"/>
                <w:szCs w:val="24"/>
                <w:lang w:val="fr-CH"/>
              </w:rPr>
              <w:t>TEXTE 1</w:t>
            </w:r>
          </w:p>
          <w:p w14:paraId="35ECA1D4" w14:textId="3D2E8DCE" w:rsidR="00221074" w:rsidRPr="005C1517" w:rsidRDefault="00221074" w:rsidP="006970E8">
            <w:pPr>
              <w:spacing w:line="276" w:lineRule="auto"/>
              <w:jc w:val="both"/>
              <w:rPr>
                <w:rFonts w:asciiTheme="minorHAnsi" w:hAnsiTheme="minorHAnsi" w:cstheme="minorHAnsi"/>
                <w:sz w:val="24"/>
                <w:szCs w:val="24"/>
                <w:lang w:val="fr-CH"/>
              </w:rPr>
            </w:pPr>
            <w:r w:rsidRPr="005C1517">
              <w:rPr>
                <w:rFonts w:asciiTheme="minorHAnsi" w:hAnsiTheme="minorHAnsi" w:cstheme="minorHAnsi"/>
                <w:sz w:val="24"/>
                <w:szCs w:val="24"/>
                <w:lang w:val="fr-CH"/>
              </w:rPr>
              <w:t>« Tout d'abord, en résumant les réponses obtenues et en regroupant les segments de phrases les plus récurrents (citations), la collaboration pour les enseignants signifie "travailler ensemble par le biais d'un travail d'équipe en s'aidant mutuellement à poursuivre un objectif commun" (</w:t>
            </w:r>
            <w:proofErr w:type="spellStart"/>
            <w:r w:rsidRPr="005C1517">
              <w:rPr>
                <w:rFonts w:asciiTheme="minorHAnsi" w:hAnsiTheme="minorHAnsi" w:cstheme="minorHAnsi"/>
                <w:sz w:val="24"/>
                <w:szCs w:val="24"/>
                <w:lang w:val="fr-CH"/>
              </w:rPr>
              <w:t>Cramerotti</w:t>
            </w:r>
            <w:proofErr w:type="spellEnd"/>
            <w:r w:rsidRPr="005C1517">
              <w:rPr>
                <w:rFonts w:asciiTheme="minorHAnsi" w:hAnsiTheme="minorHAnsi" w:cstheme="minorHAnsi"/>
                <w:sz w:val="24"/>
                <w:szCs w:val="24"/>
                <w:lang w:val="fr-CH"/>
              </w:rPr>
              <w:t xml:space="preserve"> &amp; </w:t>
            </w:r>
            <w:proofErr w:type="spellStart"/>
            <w:r w:rsidRPr="005C1517">
              <w:rPr>
                <w:rFonts w:asciiTheme="minorHAnsi" w:hAnsiTheme="minorHAnsi" w:cstheme="minorHAnsi"/>
                <w:sz w:val="24"/>
                <w:szCs w:val="24"/>
                <w:lang w:val="fr-CH"/>
              </w:rPr>
              <w:t>Cattoni</w:t>
            </w:r>
            <w:proofErr w:type="spellEnd"/>
            <w:r w:rsidRPr="005C1517">
              <w:rPr>
                <w:rFonts w:asciiTheme="minorHAnsi" w:hAnsiTheme="minorHAnsi" w:cstheme="minorHAnsi"/>
                <w:sz w:val="24"/>
                <w:szCs w:val="24"/>
                <w:lang w:val="fr-CH"/>
              </w:rPr>
              <w:t xml:space="preserve">, 2015 ; </w:t>
            </w:r>
            <w:proofErr w:type="spellStart"/>
            <w:r w:rsidRPr="005C1517">
              <w:rPr>
                <w:rFonts w:asciiTheme="minorHAnsi" w:hAnsiTheme="minorHAnsi" w:cstheme="minorHAnsi"/>
                <w:sz w:val="24"/>
                <w:szCs w:val="24"/>
                <w:lang w:val="fr-CH"/>
              </w:rPr>
              <w:t>Friend</w:t>
            </w:r>
            <w:proofErr w:type="spellEnd"/>
            <w:r w:rsidRPr="005C1517">
              <w:rPr>
                <w:rFonts w:asciiTheme="minorHAnsi" w:hAnsiTheme="minorHAnsi" w:cstheme="minorHAnsi"/>
                <w:sz w:val="24"/>
                <w:szCs w:val="24"/>
                <w:lang w:val="fr-CH"/>
              </w:rPr>
              <w:t xml:space="preserve"> &amp; Cook, 2000). Il ressort que la collaboration réussie vécue par les enseignants est principalement liée à l'approche méthodologique didactique utilisée (29 réponses, y compris, par exemple, une plus grande implication des familles, des enseignants de soutien et/ou des consultants externes, l'adoption d'expériences didactiques pendant les heures curriculaires telles que les "pauses pédagogiques", la répartition des élèves entre les "groupes de renforcement et de remédiation", etc. ), la volonté d'écoute, de dialogue et d</w:t>
            </w:r>
            <w:r w:rsidR="00A831F5" w:rsidRPr="005C1517">
              <w:rPr>
                <w:rFonts w:asciiTheme="minorHAnsi" w:hAnsiTheme="minorHAnsi" w:cstheme="minorHAnsi"/>
                <w:sz w:val="24"/>
                <w:szCs w:val="24"/>
                <w:lang w:val="fr-CH"/>
              </w:rPr>
              <w:t>’échange</w:t>
            </w:r>
            <w:r w:rsidRPr="005C1517">
              <w:rPr>
                <w:rFonts w:asciiTheme="minorHAnsi" w:hAnsiTheme="minorHAnsi" w:cstheme="minorHAnsi"/>
                <w:sz w:val="24"/>
                <w:szCs w:val="24"/>
                <w:lang w:val="fr-CH"/>
              </w:rPr>
              <w:t xml:space="preserve">(16 réponses), ainsi que les expériences antérieures (huit réponses, dont par exemple "les sorties réalisées ensemble" même sans les étudiants, "la participation à un concours avec les étudiants", "les relations amicales" ou "une simple question de savoir vivre") (Berger, 2008 ; </w:t>
            </w:r>
            <w:proofErr w:type="spellStart"/>
            <w:r w:rsidRPr="005C1517">
              <w:rPr>
                <w:rFonts w:asciiTheme="minorHAnsi" w:hAnsiTheme="minorHAnsi" w:cstheme="minorHAnsi"/>
                <w:sz w:val="24"/>
                <w:szCs w:val="24"/>
                <w:lang w:val="fr-CH"/>
              </w:rPr>
              <w:t>Friend</w:t>
            </w:r>
            <w:proofErr w:type="spellEnd"/>
            <w:r w:rsidRPr="005C1517">
              <w:rPr>
                <w:rFonts w:asciiTheme="minorHAnsi" w:hAnsiTheme="minorHAnsi" w:cstheme="minorHAnsi"/>
                <w:sz w:val="24"/>
                <w:szCs w:val="24"/>
                <w:lang w:val="fr-CH"/>
              </w:rPr>
              <w:t xml:space="preserve"> &amp; Cook, </w:t>
            </w:r>
            <w:r w:rsidRPr="005C1517">
              <w:rPr>
                <w:rFonts w:asciiTheme="minorHAnsi" w:hAnsiTheme="minorHAnsi" w:cstheme="minorHAnsi"/>
                <w:sz w:val="24"/>
                <w:szCs w:val="24"/>
                <w:lang w:val="fr-CH"/>
              </w:rPr>
              <w:lastRenderedPageBreak/>
              <w:t xml:space="preserve">2000 ; </w:t>
            </w:r>
            <w:proofErr w:type="spellStart"/>
            <w:r w:rsidRPr="005C1517">
              <w:rPr>
                <w:rFonts w:asciiTheme="minorHAnsi" w:hAnsiTheme="minorHAnsi" w:cstheme="minorHAnsi"/>
                <w:sz w:val="24"/>
                <w:szCs w:val="24"/>
                <w:lang w:val="fr-CH"/>
              </w:rPr>
              <w:t>Ianes</w:t>
            </w:r>
            <w:proofErr w:type="spellEnd"/>
            <w:r w:rsidRPr="005C1517">
              <w:rPr>
                <w:rFonts w:asciiTheme="minorHAnsi" w:hAnsiTheme="minorHAnsi" w:cstheme="minorHAnsi"/>
                <w:sz w:val="24"/>
                <w:szCs w:val="24"/>
                <w:lang w:val="fr-CH"/>
              </w:rPr>
              <w:t xml:space="preserve"> et al, 2015). En particulier, les compétences relationnelles telles que la "capacité d'écoute" et "l'autoanalyse", la "volonté de dialogue et d</w:t>
            </w:r>
            <w:r w:rsidR="00A831F5" w:rsidRPr="005C1517">
              <w:rPr>
                <w:rFonts w:asciiTheme="minorHAnsi" w:hAnsiTheme="minorHAnsi" w:cstheme="minorHAnsi"/>
                <w:sz w:val="24"/>
                <w:szCs w:val="24"/>
                <w:lang w:val="fr-CH"/>
              </w:rPr>
              <w:t>’échange</w:t>
            </w:r>
            <w:r w:rsidRPr="005C1517">
              <w:rPr>
                <w:rFonts w:asciiTheme="minorHAnsi" w:hAnsiTheme="minorHAnsi" w:cstheme="minorHAnsi"/>
                <w:sz w:val="24"/>
                <w:szCs w:val="24"/>
                <w:lang w:val="fr-CH"/>
              </w:rPr>
              <w:t>", le "respect mutuel", le "savoir travailler en équipe" combinées à la "préparation", au "professionnalisme", à la "culture" et à la "curiosité" des enseignants ont joué un rôle prépondérant dans cette "réussite". »</w:t>
            </w:r>
            <w:r w:rsidRPr="005C1517">
              <w:rPr>
                <w:rStyle w:val="FootnoteReference"/>
                <w:rFonts w:asciiTheme="minorHAnsi" w:hAnsiTheme="minorHAnsi" w:cstheme="minorHAnsi"/>
                <w:sz w:val="24"/>
                <w:szCs w:val="24"/>
              </w:rPr>
              <w:footnoteReference w:id="1"/>
            </w:r>
          </w:p>
          <w:p w14:paraId="364B90AE" w14:textId="77777777" w:rsidR="00A831F5" w:rsidRPr="005C1517" w:rsidRDefault="00A831F5" w:rsidP="006970E8">
            <w:pPr>
              <w:spacing w:line="276" w:lineRule="auto"/>
              <w:jc w:val="both"/>
              <w:rPr>
                <w:rFonts w:asciiTheme="minorHAnsi" w:hAnsiTheme="minorHAnsi" w:cstheme="minorHAnsi"/>
                <w:sz w:val="24"/>
                <w:szCs w:val="24"/>
                <w:lang w:val="fr-CH"/>
              </w:rPr>
            </w:pPr>
          </w:p>
          <w:p w14:paraId="52091D0D" w14:textId="77777777" w:rsidR="00221074" w:rsidRPr="005C1517" w:rsidRDefault="00221074" w:rsidP="006970E8">
            <w:pPr>
              <w:spacing w:line="276" w:lineRule="auto"/>
              <w:jc w:val="both"/>
              <w:rPr>
                <w:rFonts w:asciiTheme="minorHAnsi" w:hAnsiTheme="minorHAnsi" w:cstheme="minorHAnsi"/>
                <w:sz w:val="24"/>
                <w:szCs w:val="24"/>
              </w:rPr>
            </w:pPr>
            <w:r w:rsidRPr="005C1517">
              <w:rPr>
                <w:rFonts w:asciiTheme="minorHAnsi" w:eastAsia="Times New Roman" w:hAnsiTheme="minorHAnsi" w:cstheme="minorHAnsi"/>
                <w:kern w:val="36"/>
                <w:sz w:val="24"/>
                <w:szCs w:val="24"/>
                <w:lang w:eastAsia="it-IT"/>
              </w:rPr>
              <w:t xml:space="preserve">Extrait et </w:t>
            </w:r>
            <w:proofErr w:type="spellStart"/>
            <w:r w:rsidRPr="005C1517">
              <w:rPr>
                <w:rFonts w:asciiTheme="minorHAnsi" w:eastAsia="Times New Roman" w:hAnsiTheme="minorHAnsi" w:cstheme="minorHAnsi"/>
                <w:kern w:val="36"/>
                <w:sz w:val="24"/>
                <w:szCs w:val="24"/>
                <w:lang w:eastAsia="it-IT"/>
              </w:rPr>
              <w:t>traduit</w:t>
            </w:r>
            <w:proofErr w:type="spellEnd"/>
            <w:r w:rsidRPr="005C1517">
              <w:rPr>
                <w:rFonts w:asciiTheme="minorHAnsi" w:eastAsia="Times New Roman" w:hAnsiTheme="minorHAnsi" w:cstheme="minorHAnsi"/>
                <w:kern w:val="36"/>
                <w:sz w:val="24"/>
                <w:szCs w:val="24"/>
                <w:lang w:eastAsia="it-IT"/>
              </w:rPr>
              <w:t xml:space="preserve"> par </w:t>
            </w:r>
            <w:proofErr w:type="spellStart"/>
            <w:r w:rsidRPr="005C1517">
              <w:rPr>
                <w:rFonts w:asciiTheme="minorHAnsi" w:eastAsia="Times New Roman" w:hAnsiTheme="minorHAnsi" w:cstheme="minorHAnsi"/>
                <w:kern w:val="36"/>
                <w:sz w:val="24"/>
                <w:szCs w:val="24"/>
                <w:lang w:eastAsia="it-IT"/>
              </w:rPr>
              <w:t>nos</w:t>
            </w:r>
            <w:proofErr w:type="spellEnd"/>
            <w:r w:rsidRPr="005C1517">
              <w:rPr>
                <w:rFonts w:asciiTheme="minorHAnsi" w:eastAsia="Times New Roman" w:hAnsiTheme="minorHAnsi" w:cstheme="minorHAnsi"/>
                <w:kern w:val="36"/>
                <w:sz w:val="24"/>
                <w:szCs w:val="24"/>
                <w:lang w:eastAsia="it-IT"/>
              </w:rPr>
              <w:t xml:space="preserve"> </w:t>
            </w:r>
            <w:proofErr w:type="spellStart"/>
            <w:r w:rsidRPr="005C1517">
              <w:rPr>
                <w:rFonts w:asciiTheme="minorHAnsi" w:eastAsia="Times New Roman" w:hAnsiTheme="minorHAnsi" w:cstheme="minorHAnsi"/>
                <w:kern w:val="36"/>
                <w:sz w:val="24"/>
                <w:szCs w:val="24"/>
                <w:lang w:eastAsia="it-IT"/>
              </w:rPr>
              <w:t>soins</w:t>
            </w:r>
            <w:proofErr w:type="spellEnd"/>
            <w:r w:rsidRPr="005C1517">
              <w:rPr>
                <w:rFonts w:asciiTheme="minorHAnsi" w:eastAsia="Times New Roman" w:hAnsiTheme="minorHAnsi" w:cstheme="minorHAnsi"/>
                <w:kern w:val="36"/>
                <w:sz w:val="24"/>
                <w:szCs w:val="24"/>
                <w:lang w:eastAsia="it-IT"/>
              </w:rPr>
              <w:t xml:space="preserve"> </w:t>
            </w:r>
            <w:proofErr w:type="gramStart"/>
            <w:r w:rsidRPr="005C1517">
              <w:rPr>
                <w:rFonts w:asciiTheme="minorHAnsi" w:eastAsia="Times New Roman" w:hAnsiTheme="minorHAnsi" w:cstheme="minorHAnsi"/>
                <w:kern w:val="36"/>
                <w:sz w:val="24"/>
                <w:szCs w:val="24"/>
                <w:lang w:eastAsia="it-IT"/>
              </w:rPr>
              <w:t>de :</w:t>
            </w:r>
            <w:proofErr w:type="gramEnd"/>
            <w:r w:rsidRPr="005C1517">
              <w:rPr>
                <w:rFonts w:asciiTheme="minorHAnsi" w:eastAsia="Times New Roman" w:hAnsiTheme="minorHAnsi" w:cstheme="minorHAnsi"/>
                <w:kern w:val="36"/>
                <w:sz w:val="24"/>
                <w:szCs w:val="24"/>
                <w:lang w:eastAsia="it-IT"/>
              </w:rPr>
              <w:t xml:space="preserve"> </w:t>
            </w:r>
            <w:proofErr w:type="spellStart"/>
            <w:r w:rsidRPr="005C1517">
              <w:rPr>
                <w:rFonts w:asciiTheme="minorHAnsi" w:eastAsia="Times New Roman" w:hAnsiTheme="minorHAnsi" w:cstheme="minorHAnsi"/>
                <w:kern w:val="36"/>
                <w:sz w:val="24"/>
                <w:szCs w:val="24"/>
                <w:lang w:eastAsia="it-IT"/>
              </w:rPr>
              <w:t>Aquario</w:t>
            </w:r>
            <w:proofErr w:type="spellEnd"/>
            <w:r w:rsidRPr="005C1517">
              <w:rPr>
                <w:rFonts w:asciiTheme="minorHAnsi" w:eastAsia="Times New Roman" w:hAnsiTheme="minorHAnsi" w:cstheme="minorHAnsi"/>
                <w:kern w:val="36"/>
                <w:sz w:val="24"/>
                <w:szCs w:val="24"/>
                <w:lang w:eastAsia="it-IT"/>
              </w:rPr>
              <w:t xml:space="preserve"> D., </w:t>
            </w:r>
            <w:proofErr w:type="spellStart"/>
            <w:r w:rsidRPr="005C1517">
              <w:rPr>
                <w:rFonts w:asciiTheme="minorHAnsi" w:eastAsia="Times New Roman" w:hAnsiTheme="minorHAnsi" w:cstheme="minorHAnsi"/>
                <w:kern w:val="36"/>
                <w:sz w:val="24"/>
                <w:szCs w:val="24"/>
                <w:lang w:eastAsia="it-IT"/>
              </w:rPr>
              <w:t>Ghedin</w:t>
            </w:r>
            <w:proofErr w:type="spellEnd"/>
            <w:r w:rsidRPr="005C1517">
              <w:rPr>
                <w:rFonts w:asciiTheme="minorHAnsi" w:eastAsia="Times New Roman" w:hAnsiTheme="minorHAnsi" w:cstheme="minorHAnsi"/>
                <w:kern w:val="36"/>
                <w:sz w:val="24"/>
                <w:szCs w:val="24"/>
                <w:lang w:eastAsia="it-IT"/>
              </w:rPr>
              <w:t xml:space="preserve">, E., Bresciani Pocaterra M. (2017), “The challenge of collaboration for a good school: a research with secondary school teachers” </w:t>
            </w:r>
            <w:proofErr w:type="spellStart"/>
            <w:r w:rsidRPr="005C1517">
              <w:rPr>
                <w:rFonts w:asciiTheme="minorHAnsi" w:eastAsia="Times New Roman" w:hAnsiTheme="minorHAnsi" w:cstheme="minorHAnsi"/>
                <w:i/>
                <w:iCs/>
                <w:sz w:val="24"/>
                <w:szCs w:val="24"/>
                <w:lang w:eastAsia="it-IT"/>
              </w:rPr>
              <w:t>Form@re</w:t>
            </w:r>
            <w:proofErr w:type="spellEnd"/>
            <w:r w:rsidRPr="005C1517">
              <w:rPr>
                <w:rFonts w:asciiTheme="minorHAnsi" w:eastAsia="Times New Roman" w:hAnsiTheme="minorHAnsi" w:cstheme="minorHAnsi"/>
                <w:i/>
                <w:iCs/>
                <w:sz w:val="24"/>
                <w:szCs w:val="24"/>
                <w:lang w:eastAsia="it-IT"/>
              </w:rPr>
              <w:t xml:space="preserve"> - Open Journal per la </w:t>
            </w:r>
            <w:proofErr w:type="spellStart"/>
            <w:r w:rsidRPr="005C1517">
              <w:rPr>
                <w:rFonts w:asciiTheme="minorHAnsi" w:eastAsia="Times New Roman" w:hAnsiTheme="minorHAnsi" w:cstheme="minorHAnsi"/>
                <w:i/>
                <w:iCs/>
                <w:sz w:val="24"/>
                <w:szCs w:val="24"/>
                <w:lang w:eastAsia="it-IT"/>
              </w:rPr>
              <w:t>formazione</w:t>
            </w:r>
            <w:proofErr w:type="spellEnd"/>
            <w:r w:rsidRPr="005C1517">
              <w:rPr>
                <w:rFonts w:asciiTheme="minorHAnsi" w:eastAsia="Times New Roman" w:hAnsiTheme="minorHAnsi" w:cstheme="minorHAnsi"/>
                <w:i/>
                <w:iCs/>
                <w:sz w:val="24"/>
                <w:szCs w:val="24"/>
                <w:lang w:eastAsia="it-IT"/>
              </w:rPr>
              <w:t xml:space="preserve"> in rete, </w:t>
            </w:r>
            <w:r w:rsidRPr="005C1517">
              <w:rPr>
                <w:rFonts w:asciiTheme="minorHAnsi" w:hAnsiTheme="minorHAnsi" w:cstheme="minorHAnsi"/>
                <w:sz w:val="24"/>
                <w:szCs w:val="24"/>
                <w:shd w:val="clear" w:color="auto" w:fill="FFFFFF"/>
              </w:rPr>
              <w:t xml:space="preserve">vol. 17, n. 3, </w:t>
            </w:r>
            <w:r w:rsidRPr="005C1517">
              <w:rPr>
                <w:rFonts w:asciiTheme="minorHAnsi" w:eastAsia="Times New Roman" w:hAnsiTheme="minorHAnsi" w:cstheme="minorHAnsi"/>
                <w:sz w:val="24"/>
                <w:szCs w:val="24"/>
                <w:lang w:eastAsia="it-IT"/>
              </w:rPr>
              <w:t xml:space="preserve">201, </w:t>
            </w:r>
            <w:r w:rsidRPr="005C1517">
              <w:rPr>
                <w:rFonts w:asciiTheme="minorHAnsi" w:hAnsiTheme="minorHAnsi" w:cstheme="minorHAnsi"/>
                <w:sz w:val="24"/>
                <w:szCs w:val="24"/>
                <w:shd w:val="clear" w:color="auto" w:fill="FFFFFF"/>
              </w:rPr>
              <w:t>pp. 162-173</w:t>
            </w:r>
            <w:r w:rsidRPr="005C1517">
              <w:rPr>
                <w:rFonts w:asciiTheme="minorHAnsi" w:eastAsia="Times New Roman" w:hAnsiTheme="minorHAnsi" w:cstheme="minorHAnsi"/>
                <w:sz w:val="24"/>
                <w:szCs w:val="24"/>
                <w:lang w:eastAsia="it-IT"/>
              </w:rPr>
              <w:t xml:space="preserve">. Firenze University </w:t>
            </w:r>
            <w:proofErr w:type="gramStart"/>
            <w:r w:rsidRPr="005C1517">
              <w:rPr>
                <w:rFonts w:asciiTheme="minorHAnsi" w:eastAsia="Times New Roman" w:hAnsiTheme="minorHAnsi" w:cstheme="minorHAnsi"/>
                <w:sz w:val="24"/>
                <w:szCs w:val="24"/>
                <w:lang w:eastAsia="it-IT"/>
              </w:rPr>
              <w:t>press :</w:t>
            </w:r>
            <w:proofErr w:type="gramEnd"/>
            <w:r w:rsidRPr="005C1517">
              <w:rPr>
                <w:rFonts w:asciiTheme="minorHAnsi" w:eastAsia="Times New Roman" w:hAnsiTheme="minorHAnsi" w:cstheme="minorHAnsi"/>
                <w:sz w:val="24"/>
                <w:szCs w:val="24"/>
                <w:lang w:eastAsia="it-IT"/>
              </w:rPr>
              <w:t xml:space="preserve"> E-Journals. (</w:t>
            </w:r>
            <w:hyperlink r:id="rId11" w:history="1">
              <w:r w:rsidRPr="005C1517">
                <w:rPr>
                  <w:rStyle w:val="Hyperlink"/>
                  <w:rFonts w:asciiTheme="minorHAnsi" w:eastAsia="Times New Roman" w:hAnsiTheme="minorHAnsi" w:cstheme="minorHAnsi"/>
                  <w:sz w:val="24"/>
                  <w:szCs w:val="24"/>
                  <w:lang w:eastAsia="it-IT"/>
                </w:rPr>
                <w:t>https://core.ac.uk/reader/228586400</w:t>
              </w:r>
            </w:hyperlink>
            <w:r w:rsidRPr="005C1517">
              <w:rPr>
                <w:rFonts w:asciiTheme="minorHAnsi" w:eastAsia="Times New Roman" w:hAnsiTheme="minorHAnsi" w:cstheme="minorHAnsi"/>
                <w:sz w:val="24"/>
                <w:szCs w:val="24"/>
                <w:lang w:eastAsia="it-IT"/>
              </w:rPr>
              <w:t>)</w:t>
            </w:r>
          </w:p>
          <w:p w14:paraId="42AC7029" w14:textId="77777777" w:rsidR="00221074" w:rsidRPr="005C1517" w:rsidRDefault="00221074" w:rsidP="006970E8">
            <w:pPr>
              <w:spacing w:line="276" w:lineRule="auto"/>
              <w:jc w:val="both"/>
              <w:rPr>
                <w:rFonts w:asciiTheme="minorHAnsi" w:hAnsiTheme="minorHAnsi" w:cstheme="minorHAnsi"/>
                <w:sz w:val="24"/>
                <w:szCs w:val="24"/>
              </w:rPr>
            </w:pPr>
          </w:p>
        </w:tc>
      </w:tr>
    </w:tbl>
    <w:p w14:paraId="7C63E21E" w14:textId="77777777" w:rsidR="00221074" w:rsidRPr="005C1517" w:rsidRDefault="00221074" w:rsidP="00221074">
      <w:pPr>
        <w:jc w:val="both"/>
        <w:rPr>
          <w:rFonts w:asciiTheme="minorHAnsi" w:hAnsiTheme="minorHAnsi" w:cstheme="minorHAnsi"/>
        </w:rPr>
      </w:pPr>
    </w:p>
    <w:tbl>
      <w:tblPr>
        <w:tblStyle w:val="TableGrid"/>
        <w:tblW w:w="0" w:type="auto"/>
        <w:tblLook w:val="04A0" w:firstRow="1" w:lastRow="0" w:firstColumn="1" w:lastColumn="0" w:noHBand="0" w:noVBand="1"/>
      </w:tblPr>
      <w:tblGrid>
        <w:gridCol w:w="9056"/>
      </w:tblGrid>
      <w:tr w:rsidR="00221074" w:rsidRPr="005C1517" w14:paraId="5F56201A" w14:textId="77777777" w:rsidTr="006970E8">
        <w:tc>
          <w:tcPr>
            <w:tcW w:w="13996" w:type="dxa"/>
          </w:tcPr>
          <w:p w14:paraId="1EE69F66" w14:textId="77777777" w:rsidR="00221074" w:rsidRPr="005C1517" w:rsidRDefault="00221074" w:rsidP="006970E8">
            <w:pPr>
              <w:spacing w:line="276" w:lineRule="auto"/>
              <w:jc w:val="both"/>
              <w:rPr>
                <w:rFonts w:asciiTheme="minorHAnsi" w:hAnsiTheme="minorHAnsi" w:cstheme="minorHAnsi"/>
                <w:b/>
                <w:bCs/>
                <w:sz w:val="24"/>
                <w:szCs w:val="24"/>
                <w:lang w:val="fr-CH"/>
              </w:rPr>
            </w:pPr>
            <w:r w:rsidRPr="005C1517">
              <w:rPr>
                <w:rFonts w:asciiTheme="minorHAnsi" w:hAnsiTheme="minorHAnsi" w:cstheme="minorHAnsi"/>
                <w:b/>
                <w:bCs/>
                <w:sz w:val="24"/>
                <w:szCs w:val="24"/>
                <w:lang w:val="fr-CH"/>
              </w:rPr>
              <w:t>TEXTE 2</w:t>
            </w:r>
          </w:p>
          <w:p w14:paraId="107DC155" w14:textId="77777777" w:rsidR="00221074" w:rsidRPr="005C1517" w:rsidRDefault="00221074" w:rsidP="006970E8">
            <w:pPr>
              <w:spacing w:line="276" w:lineRule="auto"/>
              <w:jc w:val="both"/>
              <w:rPr>
                <w:rFonts w:asciiTheme="minorHAnsi" w:hAnsiTheme="minorHAnsi" w:cstheme="minorHAnsi"/>
                <w:b/>
                <w:bCs/>
                <w:sz w:val="24"/>
                <w:szCs w:val="24"/>
                <w:lang w:val="fr-CH"/>
              </w:rPr>
            </w:pPr>
            <w:r w:rsidRPr="005C1517">
              <w:rPr>
                <w:rFonts w:asciiTheme="minorHAnsi" w:hAnsiTheme="minorHAnsi" w:cstheme="minorHAnsi"/>
                <w:color w:val="000000"/>
                <w:sz w:val="24"/>
                <w:szCs w:val="24"/>
                <w:lang w:val="fr-CH"/>
              </w:rPr>
              <w:t>La collaboration peut se caractériser par l'égalité des statuts des membres d'un groupe, par le fait qu'ils mènent ensemble des activités pour résoudre un problème partagé, qu'ils participent aux interactions sociales (</w:t>
            </w:r>
            <w:proofErr w:type="spellStart"/>
            <w:r w:rsidRPr="005C1517">
              <w:rPr>
                <w:rFonts w:asciiTheme="minorHAnsi" w:hAnsiTheme="minorHAnsi" w:cstheme="minorHAnsi"/>
                <w:color w:val="000000"/>
                <w:sz w:val="24"/>
                <w:szCs w:val="24"/>
                <w:lang w:val="fr-CH"/>
              </w:rPr>
              <w:t>Daele</w:t>
            </w:r>
            <w:proofErr w:type="spellEnd"/>
            <w:r w:rsidRPr="005C1517">
              <w:rPr>
                <w:rFonts w:asciiTheme="minorHAnsi" w:hAnsiTheme="minorHAnsi" w:cstheme="minorHAnsi"/>
                <w:color w:val="000000"/>
                <w:sz w:val="24"/>
                <w:szCs w:val="24"/>
                <w:lang w:val="fr-CH"/>
              </w:rPr>
              <w:t xml:space="preserve"> &amp; Charlier, 2006 ; </w:t>
            </w:r>
            <w:proofErr w:type="spellStart"/>
            <w:r w:rsidRPr="005C1517">
              <w:rPr>
                <w:rFonts w:asciiTheme="minorHAnsi" w:hAnsiTheme="minorHAnsi" w:cstheme="minorHAnsi"/>
                <w:color w:val="000000"/>
                <w:sz w:val="24"/>
                <w:szCs w:val="24"/>
                <w:lang w:val="fr-CH"/>
              </w:rPr>
              <w:t>Dillenbourg</w:t>
            </w:r>
            <w:proofErr w:type="spellEnd"/>
            <w:r w:rsidRPr="005C1517">
              <w:rPr>
                <w:rFonts w:asciiTheme="minorHAnsi" w:hAnsiTheme="minorHAnsi" w:cstheme="minorHAnsi"/>
                <w:color w:val="000000"/>
                <w:sz w:val="24"/>
                <w:szCs w:val="24"/>
                <w:lang w:val="fr-CH"/>
              </w:rPr>
              <w:t xml:space="preserve"> et al., 2003). Une conception de la collaboration qualifiée de "constructive" par Damon et Phelps (1989), soutenue par le courant socio-constructiviste, souligne également que c'est essentiellement par le dialogue entre les membres du groupe, mais aussi par le partage de leurs savoirs et par la coordination de leurs actions, que ces derniers parviennent à résoudre le problème et à construire de nouvelles connaissances.</w:t>
            </w:r>
          </w:p>
          <w:p w14:paraId="436E92F9" w14:textId="77777777" w:rsidR="00221074" w:rsidRPr="005C1517" w:rsidRDefault="00221074" w:rsidP="006970E8">
            <w:pPr>
              <w:pStyle w:val="texte"/>
              <w:shd w:val="clear" w:color="auto" w:fill="FFFFFF"/>
              <w:spacing w:before="240" w:beforeAutospacing="0" w:after="240" w:afterAutospacing="0" w:line="276" w:lineRule="auto"/>
              <w:jc w:val="both"/>
              <w:rPr>
                <w:rFonts w:asciiTheme="minorHAnsi" w:hAnsiTheme="minorHAnsi" w:cstheme="minorHAnsi"/>
                <w:color w:val="000000"/>
                <w:sz w:val="24"/>
                <w:szCs w:val="24"/>
                <w:lang w:val="fr-FR"/>
              </w:rPr>
            </w:pPr>
            <w:r w:rsidRPr="005C1517">
              <w:rPr>
                <w:rFonts w:asciiTheme="minorHAnsi" w:hAnsiTheme="minorHAnsi" w:cstheme="minorHAnsi"/>
                <w:color w:val="000000"/>
                <w:sz w:val="24"/>
                <w:szCs w:val="24"/>
                <w:lang w:val="fr-FR"/>
              </w:rPr>
              <w:t xml:space="preserve">À cela, Henri et </w:t>
            </w:r>
            <w:proofErr w:type="spellStart"/>
            <w:r w:rsidRPr="005C1517">
              <w:rPr>
                <w:rFonts w:asciiTheme="minorHAnsi" w:hAnsiTheme="minorHAnsi" w:cstheme="minorHAnsi"/>
                <w:color w:val="000000"/>
                <w:sz w:val="24"/>
                <w:szCs w:val="24"/>
                <w:lang w:val="fr-FR"/>
              </w:rPr>
              <w:t>Lundgren</w:t>
            </w:r>
            <w:proofErr w:type="spellEnd"/>
            <w:r w:rsidRPr="005C1517">
              <w:rPr>
                <w:rFonts w:asciiTheme="minorHAnsi" w:hAnsiTheme="minorHAnsi" w:cstheme="minorHAnsi"/>
                <w:color w:val="000000"/>
                <w:sz w:val="24"/>
                <w:szCs w:val="24"/>
                <w:lang w:val="fr-FR"/>
              </w:rPr>
              <w:t xml:space="preserve">-Cayrol (2003) ajoutent que la cohésion et la productivité sont deux conditions à réunir pour réaliser une collaboration fructueuse. La cohésion, toujours selon ces auteures, s'exprime par des comportements solidaires et la participation régulière des membres. La cohésion augmente lorsque les membres ressentent de l'attrait pour le groupe et s'identifient au groupe. Une forte cohésion favorise la productivité. Inversement, la productivité, qui "se rapporte au sentiment qu'éprouvent les membres d'un groupe lorsque leurs interactions débouchent sur une production qu'ils jugent satisfaisante" </w:t>
            </w:r>
            <w:r w:rsidRPr="005C1517">
              <w:rPr>
                <w:rFonts w:asciiTheme="minorHAnsi" w:hAnsiTheme="minorHAnsi" w:cstheme="minorHAnsi"/>
                <w:color w:val="000000"/>
                <w:sz w:val="24"/>
                <w:szCs w:val="24"/>
                <w:lang w:val="fr-FR"/>
              </w:rPr>
              <w:lastRenderedPageBreak/>
              <w:t>(</w:t>
            </w:r>
            <w:proofErr w:type="gramStart"/>
            <w:r w:rsidRPr="005C1517">
              <w:rPr>
                <w:rFonts w:asciiTheme="minorHAnsi" w:hAnsiTheme="minorHAnsi" w:cstheme="minorHAnsi"/>
                <w:color w:val="000000"/>
                <w:sz w:val="24"/>
                <w:szCs w:val="24"/>
                <w:lang w:val="fr-FR"/>
              </w:rPr>
              <w:t>p.</w:t>
            </w:r>
            <w:proofErr w:type="gramEnd"/>
            <w:r w:rsidRPr="005C1517">
              <w:rPr>
                <w:rFonts w:asciiTheme="minorHAnsi" w:hAnsiTheme="minorHAnsi" w:cstheme="minorHAnsi"/>
                <w:color w:val="000000"/>
                <w:sz w:val="24"/>
                <w:szCs w:val="24"/>
                <w:lang w:val="fr-FR"/>
              </w:rPr>
              <w:t xml:space="preserve"> 82), nourrit la cohésion. Enfin, favoriser l'interdépendance positive stimulerait également la cohésion (Henri &amp; </w:t>
            </w:r>
            <w:proofErr w:type="spellStart"/>
            <w:r w:rsidRPr="005C1517">
              <w:rPr>
                <w:rFonts w:asciiTheme="minorHAnsi" w:hAnsiTheme="minorHAnsi" w:cstheme="minorHAnsi"/>
                <w:color w:val="000000"/>
                <w:sz w:val="24"/>
                <w:szCs w:val="24"/>
                <w:lang w:val="fr-FR"/>
              </w:rPr>
              <w:t>Lundgren</w:t>
            </w:r>
            <w:proofErr w:type="spellEnd"/>
            <w:r w:rsidRPr="005C1517">
              <w:rPr>
                <w:rFonts w:asciiTheme="minorHAnsi" w:hAnsiTheme="minorHAnsi" w:cstheme="minorHAnsi"/>
                <w:color w:val="000000"/>
                <w:sz w:val="24"/>
                <w:szCs w:val="24"/>
                <w:lang w:val="fr-FR"/>
              </w:rPr>
              <w:t>-Cayrol, 2003).</w:t>
            </w:r>
          </w:p>
          <w:p w14:paraId="04094409" w14:textId="77777777" w:rsidR="00221074" w:rsidRPr="005C1517" w:rsidRDefault="00221074" w:rsidP="006970E8">
            <w:pPr>
              <w:pStyle w:val="texte"/>
              <w:shd w:val="clear" w:color="auto" w:fill="FFFFFF"/>
              <w:spacing w:before="240" w:beforeAutospacing="0" w:after="240" w:afterAutospacing="0" w:line="276" w:lineRule="auto"/>
              <w:jc w:val="both"/>
              <w:rPr>
                <w:rFonts w:asciiTheme="minorHAnsi" w:hAnsiTheme="minorHAnsi" w:cstheme="minorHAnsi"/>
                <w:color w:val="000000"/>
                <w:sz w:val="24"/>
                <w:szCs w:val="24"/>
                <w:lang w:val="fr-FR"/>
              </w:rPr>
            </w:pPr>
            <w:r w:rsidRPr="005C1517">
              <w:rPr>
                <w:rFonts w:asciiTheme="minorHAnsi" w:hAnsiTheme="minorHAnsi" w:cstheme="minorHAnsi"/>
                <w:color w:val="000000"/>
                <w:sz w:val="24"/>
                <w:szCs w:val="24"/>
                <w:lang w:val="fr-FR"/>
              </w:rPr>
              <w:t>Pour la construction de la cohésion et de la productivité d'un groupe qui collabore, les interactions sociales sont centrales. Partager ses idées, communiquer sa vision des choses, élaborer des hypothèses, discuter et s'entendre sur l'orientation à donner au travail, concilier des points de vue, dégager une pensée fédératrice (</w:t>
            </w:r>
            <w:proofErr w:type="spellStart"/>
            <w:r w:rsidRPr="005C1517">
              <w:rPr>
                <w:rFonts w:asciiTheme="minorHAnsi" w:hAnsiTheme="minorHAnsi" w:cstheme="minorHAnsi"/>
                <w:color w:val="000000"/>
                <w:sz w:val="24"/>
                <w:szCs w:val="24"/>
                <w:lang w:val="fr-FR"/>
              </w:rPr>
              <w:t>Schrage</w:t>
            </w:r>
            <w:proofErr w:type="spellEnd"/>
            <w:r w:rsidRPr="005C1517">
              <w:rPr>
                <w:rFonts w:asciiTheme="minorHAnsi" w:hAnsiTheme="minorHAnsi" w:cstheme="minorHAnsi"/>
                <w:color w:val="000000"/>
                <w:sz w:val="24"/>
                <w:szCs w:val="24"/>
                <w:lang w:val="fr-FR"/>
              </w:rPr>
              <w:t xml:space="preserve">, 1990), négocier du sens, l'ensemble de ces actes de langage montre combien le dialogue est au cœur de la collaboration. </w:t>
            </w:r>
            <w:proofErr w:type="spellStart"/>
            <w:r w:rsidRPr="005C1517">
              <w:rPr>
                <w:rFonts w:asciiTheme="minorHAnsi" w:hAnsiTheme="minorHAnsi" w:cstheme="minorHAnsi"/>
                <w:color w:val="000000"/>
                <w:sz w:val="24"/>
                <w:szCs w:val="24"/>
                <w:lang w:val="fr-FR"/>
              </w:rPr>
              <w:t>Schrage</w:t>
            </w:r>
            <w:proofErr w:type="spellEnd"/>
            <w:r w:rsidRPr="005C1517">
              <w:rPr>
                <w:rFonts w:asciiTheme="minorHAnsi" w:hAnsiTheme="minorHAnsi" w:cstheme="minorHAnsi"/>
                <w:color w:val="000000"/>
                <w:sz w:val="24"/>
                <w:szCs w:val="24"/>
                <w:lang w:val="fr-FR"/>
              </w:rPr>
              <w:t xml:space="preserve"> (1990) explique que c'est grâce au dialogue que la collaboration se construit et que ce dernier a une fonction de médiation : en soutenant la négociation, il rapproche les pensées, réduit les écarts de connaissances entre les collaborateurs ; ces derniers s'adaptent entre eux, explicitent leurs connaissances, s'approprient celles des autres, font émerger de nouveaux points de vue jusqu'à faire émerger un schème collectif qui permettra de faire avancer la production collaborative (Henri &amp; </w:t>
            </w:r>
            <w:proofErr w:type="spellStart"/>
            <w:r w:rsidRPr="005C1517">
              <w:rPr>
                <w:rFonts w:asciiTheme="minorHAnsi" w:hAnsiTheme="minorHAnsi" w:cstheme="minorHAnsi"/>
                <w:color w:val="000000"/>
                <w:sz w:val="24"/>
                <w:szCs w:val="24"/>
                <w:lang w:val="fr-FR"/>
              </w:rPr>
              <w:t>Lundgren</w:t>
            </w:r>
            <w:proofErr w:type="spellEnd"/>
            <w:r w:rsidRPr="005C1517">
              <w:rPr>
                <w:rFonts w:asciiTheme="minorHAnsi" w:hAnsiTheme="minorHAnsi" w:cstheme="minorHAnsi"/>
                <w:color w:val="000000"/>
                <w:sz w:val="24"/>
                <w:szCs w:val="24"/>
                <w:lang w:val="fr-FR"/>
              </w:rPr>
              <w:t>-Cayrol, 2003). Selon cette démarche, le dialogue est bien au fondement de la collaboration (</w:t>
            </w:r>
            <w:proofErr w:type="spellStart"/>
            <w:r w:rsidRPr="005C1517">
              <w:rPr>
                <w:rFonts w:asciiTheme="minorHAnsi" w:hAnsiTheme="minorHAnsi" w:cstheme="minorHAnsi"/>
                <w:color w:val="000000"/>
                <w:sz w:val="24"/>
                <w:szCs w:val="24"/>
                <w:lang w:val="fr-FR"/>
              </w:rPr>
              <w:t>Lemke</w:t>
            </w:r>
            <w:proofErr w:type="spellEnd"/>
            <w:r w:rsidRPr="005C1517">
              <w:rPr>
                <w:rFonts w:asciiTheme="minorHAnsi" w:hAnsiTheme="minorHAnsi" w:cstheme="minorHAnsi"/>
                <w:color w:val="000000"/>
                <w:sz w:val="24"/>
                <w:szCs w:val="24"/>
                <w:lang w:val="fr-FR"/>
              </w:rPr>
              <w:t>, 1993), ce qui place le langage et le choix des langues à utiliser au sein d'un collectif plurilingue dans une position centrale.</w:t>
            </w:r>
          </w:p>
          <w:p w14:paraId="7283BE1F" w14:textId="77777777" w:rsidR="00221074" w:rsidRPr="005C1517" w:rsidRDefault="00221074" w:rsidP="006970E8">
            <w:pPr>
              <w:pStyle w:val="texte"/>
              <w:shd w:val="clear" w:color="auto" w:fill="FFFFFF"/>
              <w:spacing w:before="240" w:beforeAutospacing="0" w:after="240" w:afterAutospacing="0" w:line="276" w:lineRule="auto"/>
              <w:jc w:val="both"/>
              <w:rPr>
                <w:rFonts w:asciiTheme="minorHAnsi" w:hAnsiTheme="minorHAnsi" w:cstheme="minorHAnsi"/>
                <w:color w:val="000000"/>
                <w:sz w:val="24"/>
                <w:szCs w:val="24"/>
                <w:lang w:val="fr-FR"/>
              </w:rPr>
            </w:pPr>
            <w:r w:rsidRPr="005C1517">
              <w:rPr>
                <w:rFonts w:asciiTheme="minorHAnsi" w:hAnsiTheme="minorHAnsi" w:cstheme="minorHAnsi"/>
                <w:color w:val="000000"/>
                <w:sz w:val="24"/>
                <w:szCs w:val="24"/>
                <w:lang w:val="fr-FR"/>
              </w:rPr>
              <w:t>Enfin, notons que les effets des situations collaboratives dépendent de la qualité des interactions développées par les apprenants. Il s'ensuit, dès lors, que l'enjeu des recherches sur l'apprentissage collaboratif à distance est de développer des tâches qui aient un impact positif sur la qualité des interactions (</w:t>
            </w:r>
            <w:proofErr w:type="spellStart"/>
            <w:r w:rsidRPr="005C1517">
              <w:rPr>
                <w:rFonts w:asciiTheme="minorHAnsi" w:hAnsiTheme="minorHAnsi" w:cstheme="minorHAnsi"/>
                <w:color w:val="000000"/>
                <w:sz w:val="24"/>
                <w:szCs w:val="24"/>
                <w:lang w:val="fr-FR"/>
              </w:rPr>
              <w:t>Dillenbourg</w:t>
            </w:r>
            <w:proofErr w:type="spellEnd"/>
            <w:r w:rsidRPr="005C1517">
              <w:rPr>
                <w:rFonts w:asciiTheme="minorHAnsi" w:hAnsiTheme="minorHAnsi" w:cstheme="minorHAnsi"/>
                <w:color w:val="000000"/>
                <w:sz w:val="24"/>
                <w:szCs w:val="24"/>
                <w:lang w:val="fr-FR"/>
              </w:rPr>
              <w:t xml:space="preserve">, 2002). Nous faisons l'hypothèse qu'une approche humaniste de la collaboration, couplée au recours au répertoire plurilingue du groupe ainsi qu'une réflexion sur la scénarisation à distance de la collaboration </w:t>
            </w:r>
            <w:proofErr w:type="gramStart"/>
            <w:r w:rsidRPr="005C1517">
              <w:rPr>
                <w:rFonts w:asciiTheme="minorHAnsi" w:hAnsiTheme="minorHAnsi" w:cstheme="minorHAnsi"/>
                <w:color w:val="000000"/>
                <w:sz w:val="24"/>
                <w:szCs w:val="24"/>
                <w:lang w:val="fr-FR"/>
              </w:rPr>
              <w:t>contribuent</w:t>
            </w:r>
            <w:proofErr w:type="gramEnd"/>
            <w:r w:rsidRPr="005C1517">
              <w:rPr>
                <w:rFonts w:asciiTheme="minorHAnsi" w:hAnsiTheme="minorHAnsi" w:cstheme="minorHAnsi"/>
                <w:color w:val="000000"/>
                <w:sz w:val="24"/>
                <w:szCs w:val="24"/>
                <w:lang w:val="fr-FR"/>
              </w:rPr>
              <w:t xml:space="preserve"> à améliorer la qualité des interactions.</w:t>
            </w:r>
          </w:p>
          <w:p w14:paraId="43219596" w14:textId="07DB4E50" w:rsidR="00221074" w:rsidRPr="005C1517" w:rsidRDefault="00221074" w:rsidP="006970E8">
            <w:pPr>
              <w:spacing w:line="276" w:lineRule="auto"/>
              <w:jc w:val="both"/>
              <w:rPr>
                <w:rFonts w:asciiTheme="minorHAnsi" w:hAnsiTheme="minorHAnsi" w:cstheme="minorHAnsi"/>
                <w:sz w:val="24"/>
                <w:szCs w:val="24"/>
                <w:lang w:val="fr-CH"/>
              </w:rPr>
            </w:pPr>
            <w:r w:rsidRPr="005C1517">
              <w:rPr>
                <w:rFonts w:asciiTheme="minorHAnsi" w:hAnsiTheme="minorHAnsi" w:cstheme="minorHAnsi"/>
                <w:sz w:val="24"/>
                <w:szCs w:val="24"/>
                <w:lang w:val="fr-CH"/>
              </w:rPr>
              <w:t xml:space="preserve">Elsa </w:t>
            </w:r>
            <w:proofErr w:type="spellStart"/>
            <w:r w:rsidRPr="005C1517">
              <w:rPr>
                <w:rFonts w:asciiTheme="minorHAnsi" w:hAnsiTheme="minorHAnsi" w:cstheme="minorHAnsi"/>
                <w:sz w:val="24"/>
                <w:szCs w:val="24"/>
                <w:lang w:val="fr-CH"/>
              </w:rPr>
              <w:t>Chachkine</w:t>
            </w:r>
            <w:proofErr w:type="spellEnd"/>
            <w:r w:rsidRPr="005C1517">
              <w:rPr>
                <w:rFonts w:asciiTheme="minorHAnsi" w:hAnsiTheme="minorHAnsi" w:cstheme="minorHAnsi"/>
                <w:sz w:val="24"/>
                <w:szCs w:val="24"/>
                <w:lang w:val="fr-CH"/>
              </w:rPr>
              <w:t xml:space="preserve"> and Isabelle </w:t>
            </w:r>
            <w:proofErr w:type="spellStart"/>
            <w:r w:rsidRPr="005C1517">
              <w:rPr>
                <w:rFonts w:asciiTheme="minorHAnsi" w:hAnsiTheme="minorHAnsi" w:cstheme="minorHAnsi"/>
                <w:sz w:val="24"/>
                <w:szCs w:val="24"/>
                <w:lang w:val="fr-CH"/>
              </w:rPr>
              <w:t>Salengros-Iguenane</w:t>
            </w:r>
            <w:proofErr w:type="spellEnd"/>
            <w:r w:rsidRPr="005C1517">
              <w:rPr>
                <w:rFonts w:asciiTheme="minorHAnsi" w:hAnsiTheme="minorHAnsi" w:cstheme="minorHAnsi"/>
                <w:sz w:val="24"/>
                <w:szCs w:val="24"/>
                <w:lang w:val="fr-CH"/>
              </w:rPr>
              <w:t xml:space="preserve">, “Compétences pour </w:t>
            </w:r>
            <w:proofErr w:type="spellStart"/>
            <w:r w:rsidRPr="005C1517">
              <w:rPr>
                <w:rFonts w:asciiTheme="minorHAnsi" w:hAnsiTheme="minorHAnsi" w:cstheme="minorHAnsi"/>
                <w:sz w:val="24"/>
                <w:szCs w:val="24"/>
                <w:lang w:val="fr-CH"/>
              </w:rPr>
              <w:t>télécollaborer</w:t>
            </w:r>
            <w:proofErr w:type="spellEnd"/>
            <w:r w:rsidRPr="005C1517">
              <w:rPr>
                <w:rFonts w:asciiTheme="minorHAnsi" w:hAnsiTheme="minorHAnsi" w:cstheme="minorHAnsi"/>
                <w:sz w:val="24"/>
                <w:szCs w:val="24"/>
                <w:lang w:val="fr-CH"/>
              </w:rPr>
              <w:t xml:space="preserve"> dans un environnement plurilingue : référentiel et tâche”, </w:t>
            </w:r>
            <w:proofErr w:type="spellStart"/>
            <w:r w:rsidRPr="005C1517">
              <w:rPr>
                <w:rFonts w:asciiTheme="minorHAnsi" w:hAnsiTheme="minorHAnsi" w:cstheme="minorHAnsi"/>
                <w:i/>
                <w:iCs/>
                <w:sz w:val="24"/>
                <w:szCs w:val="24"/>
                <w:lang w:val="fr-CH"/>
              </w:rPr>
              <w:t>Alsic</w:t>
            </w:r>
            <w:proofErr w:type="spellEnd"/>
            <w:r w:rsidRPr="005C1517">
              <w:rPr>
                <w:rFonts w:asciiTheme="minorHAnsi" w:hAnsiTheme="minorHAnsi" w:cstheme="minorHAnsi"/>
                <w:sz w:val="24"/>
                <w:szCs w:val="24"/>
                <w:lang w:val="fr-CH"/>
              </w:rPr>
              <w:t xml:space="preserve"> [Online], Vol. 25, n° 2 | 2022, En ligne depuis 15 décembre 2022, consulté le 30 Mai 2023. </w:t>
            </w:r>
          </w:p>
          <w:p w14:paraId="7A746BBD" w14:textId="77777777" w:rsidR="00221074" w:rsidRPr="005C1517" w:rsidRDefault="00221074" w:rsidP="006970E8">
            <w:pPr>
              <w:spacing w:line="276" w:lineRule="auto"/>
              <w:jc w:val="both"/>
              <w:rPr>
                <w:rFonts w:asciiTheme="minorHAnsi" w:hAnsiTheme="minorHAnsi" w:cstheme="minorHAnsi"/>
                <w:sz w:val="24"/>
                <w:szCs w:val="24"/>
              </w:rPr>
            </w:pPr>
            <w:r w:rsidRPr="005C1517">
              <w:rPr>
                <w:rFonts w:asciiTheme="minorHAnsi" w:hAnsiTheme="minorHAnsi" w:cstheme="minorHAnsi"/>
                <w:sz w:val="24"/>
                <w:szCs w:val="24"/>
              </w:rPr>
              <w:t xml:space="preserve">URL: http://journals.openedition.org/alsic/6365; DOI: </w:t>
            </w:r>
            <w:hyperlink r:id="rId12" w:history="1">
              <w:r w:rsidRPr="005C1517">
                <w:rPr>
                  <w:rStyle w:val="Hyperlink"/>
                  <w:rFonts w:asciiTheme="minorHAnsi" w:hAnsiTheme="minorHAnsi" w:cstheme="minorHAnsi"/>
                  <w:sz w:val="24"/>
                  <w:szCs w:val="24"/>
                </w:rPr>
                <w:t>https://doi.org/10.4000/alsic.6365</w:t>
              </w:r>
            </w:hyperlink>
          </w:p>
        </w:tc>
      </w:tr>
    </w:tbl>
    <w:p w14:paraId="4D0AEBC0" w14:textId="77777777" w:rsidR="0007543F" w:rsidRDefault="0007543F" w:rsidP="00221074">
      <w:pPr>
        <w:jc w:val="both"/>
        <w:rPr>
          <w:rFonts w:asciiTheme="minorHAnsi" w:hAnsiTheme="minorHAnsi" w:cstheme="minorHAnsi"/>
          <w:lang w:val="fr-FR"/>
        </w:rPr>
      </w:pPr>
    </w:p>
    <w:p w14:paraId="0B6EBBB1" w14:textId="77777777" w:rsidR="0007543F" w:rsidRDefault="0007543F" w:rsidP="00221074">
      <w:pPr>
        <w:jc w:val="both"/>
        <w:rPr>
          <w:rFonts w:asciiTheme="minorHAnsi" w:hAnsiTheme="minorHAnsi" w:cstheme="minorHAnsi"/>
          <w:lang w:val="fr-FR"/>
        </w:rPr>
      </w:pPr>
    </w:p>
    <w:p w14:paraId="410A940C" w14:textId="37030F4D"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II b. Après la lecture, comparez les différentes définitions de la collaboration et remplissez le tableau ci-dessous.</w:t>
      </w:r>
    </w:p>
    <w:p w14:paraId="4DDE70A4" w14:textId="77777777" w:rsidR="00221074" w:rsidRPr="005C1517" w:rsidRDefault="00221074" w:rsidP="00221074">
      <w:pPr>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2260"/>
        <w:gridCol w:w="2259"/>
        <w:gridCol w:w="2259"/>
        <w:gridCol w:w="2278"/>
      </w:tblGrid>
      <w:tr w:rsidR="00221074" w:rsidRPr="005C1517" w14:paraId="3E4BF3EA" w14:textId="77777777" w:rsidTr="006970E8">
        <w:tc>
          <w:tcPr>
            <w:tcW w:w="3499" w:type="dxa"/>
          </w:tcPr>
          <w:p w14:paraId="69942D13" w14:textId="77777777" w:rsidR="00221074" w:rsidRPr="005C1517" w:rsidRDefault="00221074" w:rsidP="006970E8">
            <w:pPr>
              <w:rPr>
                <w:rFonts w:asciiTheme="minorHAnsi" w:hAnsiTheme="minorHAnsi" w:cstheme="minorHAnsi"/>
                <w:sz w:val="24"/>
                <w:szCs w:val="24"/>
                <w:lang w:val="fr-CH"/>
              </w:rPr>
            </w:pPr>
            <w:r w:rsidRPr="005C1517">
              <w:rPr>
                <w:rFonts w:asciiTheme="minorHAnsi" w:hAnsiTheme="minorHAnsi" w:cstheme="minorHAnsi"/>
                <w:sz w:val="24"/>
                <w:szCs w:val="24"/>
                <w:lang w:val="fr-CH"/>
              </w:rPr>
              <w:t>Définition et caractéristiques de la collaboration d’après l’enquête italienne</w:t>
            </w:r>
          </w:p>
        </w:tc>
        <w:tc>
          <w:tcPr>
            <w:tcW w:w="3499" w:type="dxa"/>
          </w:tcPr>
          <w:p w14:paraId="74922883" w14:textId="77777777" w:rsidR="00221074" w:rsidRPr="005C1517" w:rsidRDefault="00221074" w:rsidP="006970E8">
            <w:pPr>
              <w:rPr>
                <w:rFonts w:asciiTheme="minorHAnsi" w:hAnsiTheme="minorHAnsi" w:cstheme="minorHAnsi"/>
                <w:sz w:val="24"/>
                <w:szCs w:val="24"/>
                <w:lang w:val="fr-CH"/>
              </w:rPr>
            </w:pPr>
            <w:r w:rsidRPr="005C1517">
              <w:rPr>
                <w:rFonts w:asciiTheme="minorHAnsi" w:hAnsiTheme="minorHAnsi" w:cstheme="minorHAnsi"/>
                <w:sz w:val="24"/>
                <w:szCs w:val="24"/>
                <w:lang w:val="fr-CH"/>
              </w:rPr>
              <w:t xml:space="preserve">Définition et caractéristiques de la collaboration d’après l’article de la revue </w:t>
            </w:r>
            <w:r w:rsidRPr="005C1517">
              <w:rPr>
                <w:rFonts w:asciiTheme="minorHAnsi" w:hAnsiTheme="minorHAnsi" w:cstheme="minorHAnsi"/>
                <w:i/>
                <w:iCs/>
                <w:sz w:val="24"/>
                <w:szCs w:val="24"/>
                <w:lang w:val="fr-CH"/>
              </w:rPr>
              <w:t>ALSIC</w:t>
            </w:r>
          </w:p>
        </w:tc>
        <w:tc>
          <w:tcPr>
            <w:tcW w:w="3499" w:type="dxa"/>
          </w:tcPr>
          <w:p w14:paraId="26291809" w14:textId="77777777" w:rsidR="00221074" w:rsidRPr="005C1517" w:rsidRDefault="00221074" w:rsidP="006970E8">
            <w:pPr>
              <w:rPr>
                <w:rFonts w:asciiTheme="minorHAnsi" w:hAnsiTheme="minorHAnsi" w:cstheme="minorHAnsi"/>
                <w:sz w:val="24"/>
                <w:szCs w:val="24"/>
                <w:lang w:val="fr-CH"/>
              </w:rPr>
            </w:pPr>
            <w:r w:rsidRPr="005C1517">
              <w:rPr>
                <w:rFonts w:asciiTheme="minorHAnsi" w:hAnsiTheme="minorHAnsi" w:cstheme="minorHAnsi"/>
                <w:sz w:val="24"/>
                <w:szCs w:val="24"/>
                <w:lang w:val="fr-CH"/>
              </w:rPr>
              <w:t>Définition de la collaboration et ses caractéristiques élaborées dans mon groupe de travail</w:t>
            </w:r>
          </w:p>
        </w:tc>
        <w:tc>
          <w:tcPr>
            <w:tcW w:w="3499" w:type="dxa"/>
          </w:tcPr>
          <w:p w14:paraId="118BE139" w14:textId="77777777" w:rsidR="00221074" w:rsidRPr="005C1517" w:rsidRDefault="00221074" w:rsidP="006970E8">
            <w:pPr>
              <w:jc w:val="both"/>
              <w:rPr>
                <w:rFonts w:asciiTheme="minorHAnsi" w:hAnsiTheme="minorHAnsi" w:cstheme="minorHAnsi"/>
                <w:sz w:val="24"/>
                <w:szCs w:val="24"/>
              </w:rPr>
            </w:pPr>
            <w:r w:rsidRPr="005C1517">
              <w:rPr>
                <w:rFonts w:asciiTheme="minorHAnsi" w:hAnsiTheme="minorHAnsi" w:cstheme="minorHAnsi"/>
                <w:sz w:val="24"/>
                <w:szCs w:val="24"/>
                <w:lang w:val="fr-FR"/>
              </w:rPr>
              <w:t>Caractéristiques</w:t>
            </w:r>
            <w:r w:rsidRPr="005C1517">
              <w:rPr>
                <w:rFonts w:asciiTheme="minorHAnsi" w:hAnsiTheme="minorHAnsi" w:cstheme="minorHAnsi"/>
                <w:sz w:val="24"/>
                <w:szCs w:val="24"/>
              </w:rPr>
              <w:t xml:space="preserve"> communes</w:t>
            </w:r>
          </w:p>
        </w:tc>
      </w:tr>
      <w:tr w:rsidR="00221074" w:rsidRPr="005C1517" w14:paraId="13CF21E4" w14:textId="77777777" w:rsidTr="006970E8">
        <w:tc>
          <w:tcPr>
            <w:tcW w:w="3499" w:type="dxa"/>
          </w:tcPr>
          <w:p w14:paraId="02D9384B" w14:textId="77777777" w:rsidR="00221074" w:rsidRPr="005C1517" w:rsidRDefault="00221074" w:rsidP="006970E8">
            <w:pPr>
              <w:jc w:val="both"/>
              <w:rPr>
                <w:rFonts w:asciiTheme="minorHAnsi" w:hAnsiTheme="minorHAnsi" w:cstheme="minorHAnsi"/>
                <w:sz w:val="24"/>
                <w:szCs w:val="24"/>
              </w:rPr>
            </w:pPr>
          </w:p>
        </w:tc>
        <w:tc>
          <w:tcPr>
            <w:tcW w:w="3499" w:type="dxa"/>
          </w:tcPr>
          <w:p w14:paraId="62515861" w14:textId="77777777" w:rsidR="00221074" w:rsidRPr="005C1517" w:rsidRDefault="00221074" w:rsidP="006970E8">
            <w:pPr>
              <w:jc w:val="both"/>
              <w:rPr>
                <w:rFonts w:asciiTheme="minorHAnsi" w:hAnsiTheme="minorHAnsi" w:cstheme="minorHAnsi"/>
                <w:sz w:val="24"/>
                <w:szCs w:val="24"/>
              </w:rPr>
            </w:pPr>
          </w:p>
        </w:tc>
        <w:tc>
          <w:tcPr>
            <w:tcW w:w="3499" w:type="dxa"/>
          </w:tcPr>
          <w:p w14:paraId="65B877DA" w14:textId="77777777" w:rsidR="00221074" w:rsidRPr="005C1517" w:rsidRDefault="00221074" w:rsidP="006970E8">
            <w:pPr>
              <w:jc w:val="both"/>
              <w:rPr>
                <w:rFonts w:asciiTheme="minorHAnsi" w:hAnsiTheme="minorHAnsi" w:cstheme="minorHAnsi"/>
                <w:sz w:val="24"/>
                <w:szCs w:val="24"/>
              </w:rPr>
            </w:pPr>
          </w:p>
        </w:tc>
        <w:tc>
          <w:tcPr>
            <w:tcW w:w="3499" w:type="dxa"/>
          </w:tcPr>
          <w:p w14:paraId="70DAC547" w14:textId="77777777" w:rsidR="00221074" w:rsidRPr="005C1517" w:rsidRDefault="00221074" w:rsidP="006970E8">
            <w:pPr>
              <w:jc w:val="both"/>
              <w:rPr>
                <w:rFonts w:asciiTheme="minorHAnsi" w:hAnsiTheme="minorHAnsi" w:cstheme="minorHAnsi"/>
                <w:sz w:val="24"/>
                <w:szCs w:val="24"/>
              </w:rPr>
            </w:pPr>
          </w:p>
        </w:tc>
      </w:tr>
      <w:tr w:rsidR="00221074" w:rsidRPr="005C1517" w14:paraId="0590A3F1" w14:textId="77777777" w:rsidTr="006970E8">
        <w:tc>
          <w:tcPr>
            <w:tcW w:w="3499" w:type="dxa"/>
          </w:tcPr>
          <w:p w14:paraId="0C53ED4A" w14:textId="77777777" w:rsidR="00221074" w:rsidRPr="005C1517" w:rsidRDefault="00221074" w:rsidP="006970E8">
            <w:pPr>
              <w:jc w:val="both"/>
              <w:rPr>
                <w:rFonts w:asciiTheme="minorHAnsi" w:hAnsiTheme="minorHAnsi" w:cstheme="minorHAnsi"/>
                <w:sz w:val="24"/>
                <w:szCs w:val="24"/>
              </w:rPr>
            </w:pPr>
          </w:p>
        </w:tc>
        <w:tc>
          <w:tcPr>
            <w:tcW w:w="3499" w:type="dxa"/>
          </w:tcPr>
          <w:p w14:paraId="0AC2F1F9" w14:textId="77777777" w:rsidR="00221074" w:rsidRPr="005C1517" w:rsidRDefault="00221074" w:rsidP="006970E8">
            <w:pPr>
              <w:jc w:val="both"/>
              <w:rPr>
                <w:rFonts w:asciiTheme="minorHAnsi" w:hAnsiTheme="minorHAnsi" w:cstheme="minorHAnsi"/>
                <w:sz w:val="24"/>
                <w:szCs w:val="24"/>
              </w:rPr>
            </w:pPr>
          </w:p>
        </w:tc>
        <w:tc>
          <w:tcPr>
            <w:tcW w:w="3499" w:type="dxa"/>
          </w:tcPr>
          <w:p w14:paraId="73C998DF" w14:textId="77777777" w:rsidR="00221074" w:rsidRPr="005C1517" w:rsidRDefault="00221074" w:rsidP="006970E8">
            <w:pPr>
              <w:jc w:val="both"/>
              <w:rPr>
                <w:rFonts w:asciiTheme="minorHAnsi" w:hAnsiTheme="minorHAnsi" w:cstheme="minorHAnsi"/>
                <w:sz w:val="24"/>
                <w:szCs w:val="24"/>
              </w:rPr>
            </w:pPr>
          </w:p>
        </w:tc>
        <w:tc>
          <w:tcPr>
            <w:tcW w:w="3499" w:type="dxa"/>
          </w:tcPr>
          <w:p w14:paraId="17FAA4CA" w14:textId="77777777" w:rsidR="00221074" w:rsidRPr="005C1517" w:rsidRDefault="00221074" w:rsidP="006970E8">
            <w:pPr>
              <w:jc w:val="both"/>
              <w:rPr>
                <w:rFonts w:asciiTheme="minorHAnsi" w:hAnsiTheme="minorHAnsi" w:cstheme="minorHAnsi"/>
                <w:sz w:val="24"/>
                <w:szCs w:val="24"/>
              </w:rPr>
            </w:pPr>
          </w:p>
        </w:tc>
      </w:tr>
      <w:tr w:rsidR="00221074" w:rsidRPr="005C1517" w14:paraId="60306BDC" w14:textId="77777777" w:rsidTr="006970E8">
        <w:tc>
          <w:tcPr>
            <w:tcW w:w="3499" w:type="dxa"/>
          </w:tcPr>
          <w:p w14:paraId="18EDFDC4" w14:textId="77777777" w:rsidR="00221074" w:rsidRPr="005C1517" w:rsidRDefault="00221074" w:rsidP="006970E8">
            <w:pPr>
              <w:jc w:val="both"/>
              <w:rPr>
                <w:rFonts w:asciiTheme="minorHAnsi" w:hAnsiTheme="minorHAnsi" w:cstheme="minorHAnsi"/>
                <w:sz w:val="24"/>
                <w:szCs w:val="24"/>
              </w:rPr>
            </w:pPr>
            <w:r w:rsidRPr="005C1517">
              <w:rPr>
                <w:rFonts w:asciiTheme="minorHAnsi" w:hAnsiTheme="minorHAnsi" w:cstheme="minorHAnsi"/>
                <w:sz w:val="24"/>
                <w:szCs w:val="24"/>
              </w:rPr>
              <w:t>…</w:t>
            </w:r>
          </w:p>
        </w:tc>
        <w:tc>
          <w:tcPr>
            <w:tcW w:w="3499" w:type="dxa"/>
          </w:tcPr>
          <w:p w14:paraId="7D2CF7EE" w14:textId="77777777" w:rsidR="00221074" w:rsidRPr="005C1517" w:rsidRDefault="00221074" w:rsidP="006970E8">
            <w:pPr>
              <w:jc w:val="both"/>
              <w:rPr>
                <w:rFonts w:asciiTheme="minorHAnsi" w:hAnsiTheme="minorHAnsi" w:cstheme="minorHAnsi"/>
                <w:sz w:val="24"/>
                <w:szCs w:val="24"/>
              </w:rPr>
            </w:pPr>
          </w:p>
        </w:tc>
        <w:tc>
          <w:tcPr>
            <w:tcW w:w="3499" w:type="dxa"/>
          </w:tcPr>
          <w:p w14:paraId="41305A59" w14:textId="77777777" w:rsidR="00221074" w:rsidRPr="005C1517" w:rsidRDefault="00221074" w:rsidP="006970E8">
            <w:pPr>
              <w:jc w:val="both"/>
              <w:rPr>
                <w:rFonts w:asciiTheme="minorHAnsi" w:hAnsiTheme="minorHAnsi" w:cstheme="minorHAnsi"/>
                <w:sz w:val="24"/>
                <w:szCs w:val="24"/>
              </w:rPr>
            </w:pPr>
          </w:p>
        </w:tc>
        <w:tc>
          <w:tcPr>
            <w:tcW w:w="3499" w:type="dxa"/>
          </w:tcPr>
          <w:p w14:paraId="7706EFF4" w14:textId="77777777" w:rsidR="00221074" w:rsidRPr="005C1517" w:rsidRDefault="00221074" w:rsidP="006970E8">
            <w:pPr>
              <w:jc w:val="both"/>
              <w:rPr>
                <w:rFonts w:asciiTheme="minorHAnsi" w:hAnsiTheme="minorHAnsi" w:cstheme="minorHAnsi"/>
                <w:sz w:val="24"/>
                <w:szCs w:val="24"/>
              </w:rPr>
            </w:pPr>
          </w:p>
        </w:tc>
      </w:tr>
    </w:tbl>
    <w:p w14:paraId="3CA6B974" w14:textId="77777777" w:rsidR="00221074" w:rsidRPr="005C1517" w:rsidRDefault="00221074" w:rsidP="00221074">
      <w:pPr>
        <w:jc w:val="both"/>
        <w:rPr>
          <w:rFonts w:asciiTheme="minorHAnsi" w:hAnsiTheme="minorHAnsi" w:cstheme="minorHAnsi"/>
          <w:lang w:val="fr-FR"/>
        </w:rPr>
      </w:pPr>
    </w:p>
    <w:p w14:paraId="63256B82" w14:textId="77777777" w:rsidR="00221074" w:rsidRPr="005C1517" w:rsidRDefault="00221074" w:rsidP="00221074">
      <w:pPr>
        <w:jc w:val="both"/>
        <w:rPr>
          <w:rFonts w:asciiTheme="minorHAnsi" w:hAnsiTheme="minorHAnsi" w:cstheme="minorHAnsi"/>
          <w:lang w:val="fr-FR"/>
        </w:rPr>
      </w:pPr>
    </w:p>
    <w:p w14:paraId="784AA9B3" w14:textId="6577F9C1"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II c. Retravaillez en groupe la définition et les caractéristiques de la notion de collaboration sur la base des lectures effectuées et parvenez à une nouvelle définition partagée. </w:t>
      </w:r>
    </w:p>
    <w:p w14:paraId="635D1EAD" w14:textId="77777777" w:rsidR="00221074" w:rsidRPr="005C1517" w:rsidRDefault="00221074" w:rsidP="00221074">
      <w:pPr>
        <w:jc w:val="both"/>
        <w:rPr>
          <w:rFonts w:asciiTheme="minorHAnsi" w:hAnsiTheme="minorHAnsi" w:cstheme="minorHAnsi"/>
          <w:lang w:val="fr-FR"/>
        </w:rPr>
      </w:pPr>
    </w:p>
    <w:p w14:paraId="066ECD5C" w14:textId="77777777" w:rsidR="00221074" w:rsidRPr="00952CE4" w:rsidRDefault="00221074" w:rsidP="00221074">
      <w:pPr>
        <w:jc w:val="both"/>
        <w:rPr>
          <w:rFonts w:ascii="Century Gothic" w:hAnsi="Century Gothic" w:cstheme="minorHAnsi"/>
          <w:b/>
          <w:bCs/>
          <w:lang w:val="fr-FR"/>
        </w:rPr>
      </w:pPr>
      <w:r w:rsidRPr="00952CE4">
        <w:rPr>
          <w:rFonts w:ascii="Century Gothic" w:hAnsi="Century Gothic" w:cstheme="minorHAnsi"/>
          <w:b/>
          <w:bCs/>
          <w:sz w:val="28"/>
          <w:szCs w:val="28"/>
          <w:lang w:val="fr-FR"/>
        </w:rPr>
        <w:t>Étape III.  Quelles compétences de collaboration pour les approches plurielles ?</w:t>
      </w:r>
    </w:p>
    <w:p w14:paraId="63C8F539" w14:textId="77777777" w:rsidR="00221074" w:rsidRPr="005C1517" w:rsidRDefault="00221074" w:rsidP="00221074">
      <w:pPr>
        <w:jc w:val="both"/>
        <w:rPr>
          <w:rFonts w:asciiTheme="minorHAnsi" w:hAnsiTheme="minorHAnsi" w:cstheme="minorHAnsi"/>
          <w:lang w:val="fr-FR"/>
        </w:rPr>
      </w:pPr>
    </w:p>
    <w:p w14:paraId="2F746B64"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III a. Réfléchissez sur la démarche suivie pour accomplir les tâches précédentes : quelles compétences de collaboration avez-vous mobilisées ? Listez-les.</w:t>
      </w:r>
    </w:p>
    <w:p w14:paraId="2048B372" w14:textId="77777777" w:rsidR="00221074" w:rsidRPr="005C1517" w:rsidRDefault="00221074" w:rsidP="00221074">
      <w:pPr>
        <w:jc w:val="both"/>
        <w:rPr>
          <w:rFonts w:asciiTheme="minorHAnsi" w:hAnsiTheme="minorHAnsi" w:cstheme="minorHAnsi"/>
          <w:b/>
          <w:bCs/>
          <w:lang w:val="fr-FR"/>
        </w:rPr>
      </w:pPr>
    </w:p>
    <w:p w14:paraId="2018E745"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III b. Quelle est d’après vous la pertinence des pratiques collaboratives relativement aux objectifs éducatifs spécifiques des approches plurielles ? </w:t>
      </w:r>
    </w:p>
    <w:p w14:paraId="766D0726"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Répondez par écrit.</w:t>
      </w:r>
    </w:p>
    <w:p w14:paraId="4FB828C7" w14:textId="77777777" w:rsidR="00221074" w:rsidRPr="005C1517" w:rsidRDefault="00221074" w:rsidP="00221074">
      <w:pPr>
        <w:jc w:val="both"/>
        <w:rPr>
          <w:rFonts w:asciiTheme="minorHAnsi" w:hAnsiTheme="minorHAnsi" w:cstheme="minorHAnsi"/>
          <w:lang w:val="fr-FR"/>
        </w:rPr>
      </w:pPr>
    </w:p>
    <w:p w14:paraId="67012A64" w14:textId="67D9D5FB"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III </w:t>
      </w:r>
      <w:r w:rsidR="00C7624B" w:rsidRPr="005C1517">
        <w:rPr>
          <w:rFonts w:asciiTheme="minorHAnsi" w:hAnsiTheme="minorHAnsi" w:cstheme="minorHAnsi"/>
          <w:lang w:val="fr-FR"/>
        </w:rPr>
        <w:t>c</w:t>
      </w:r>
      <w:r w:rsidRPr="005C1517">
        <w:rPr>
          <w:rFonts w:asciiTheme="minorHAnsi" w:hAnsiTheme="minorHAnsi" w:cstheme="minorHAnsi"/>
          <w:lang w:val="fr-FR"/>
        </w:rPr>
        <w:t>. Discutez en groupe de vos réflexions.</w:t>
      </w:r>
    </w:p>
    <w:p w14:paraId="32C41ED6" w14:textId="0CEC94E1" w:rsidR="00221074" w:rsidRPr="0007543F" w:rsidRDefault="00221074" w:rsidP="00221074">
      <w:pPr>
        <w:spacing w:beforeAutospacing="1" w:afterAutospacing="1"/>
        <w:jc w:val="both"/>
        <w:outlineLvl w:val="0"/>
        <w:rPr>
          <w:rFonts w:asciiTheme="minorHAnsi" w:hAnsiTheme="minorHAnsi" w:cstheme="minorHAnsi"/>
          <w:b/>
          <w:bCs/>
          <w:i/>
          <w:iCs/>
          <w:lang w:val="fr-FR"/>
        </w:rPr>
      </w:pPr>
      <w:r w:rsidRPr="005C1517">
        <w:rPr>
          <w:rFonts w:asciiTheme="minorHAnsi" w:hAnsiTheme="minorHAnsi" w:cstheme="minorHAnsi"/>
          <w:b/>
          <w:bCs/>
          <w:lang w:val="fr-FR"/>
        </w:rPr>
        <w:t xml:space="preserve">IV Les compétences définies dans le </w:t>
      </w:r>
      <w:r w:rsidR="0007543F" w:rsidRPr="0007543F">
        <w:rPr>
          <w:rFonts w:asciiTheme="minorHAnsi" w:hAnsiTheme="minorHAnsi" w:cstheme="minorHAnsi"/>
          <w:b/>
          <w:bCs/>
          <w:i/>
          <w:iCs/>
          <w:lang w:val="fr-FR"/>
        </w:rPr>
        <w:t>Référentiel de compétences enseignantes pour les approches plurielles</w:t>
      </w:r>
      <w:r w:rsidRPr="0007543F">
        <w:rPr>
          <w:rFonts w:asciiTheme="minorHAnsi" w:hAnsiTheme="minorHAnsi" w:cstheme="minorHAnsi"/>
          <w:b/>
          <w:bCs/>
          <w:i/>
          <w:iCs/>
          <w:lang w:val="fr-FR"/>
        </w:rPr>
        <w:t>.</w:t>
      </w:r>
    </w:p>
    <w:p w14:paraId="28DFCFC9" w14:textId="57C8C6EC" w:rsidR="00221074" w:rsidRPr="005C1517" w:rsidRDefault="00221074" w:rsidP="00221074">
      <w:pPr>
        <w:spacing w:before="100" w:beforeAutospacing="1" w:after="100" w:afterAutospacing="1"/>
        <w:jc w:val="both"/>
        <w:outlineLvl w:val="0"/>
        <w:rPr>
          <w:rFonts w:asciiTheme="minorHAnsi" w:hAnsiTheme="minorHAnsi" w:cstheme="minorHAnsi"/>
          <w:i/>
          <w:iCs/>
          <w:lang w:val="fr-FR"/>
        </w:rPr>
      </w:pPr>
      <w:r w:rsidRPr="005C1517">
        <w:rPr>
          <w:rFonts w:asciiTheme="minorHAnsi" w:hAnsiTheme="minorHAnsi" w:cstheme="minorHAnsi"/>
          <w:lang w:val="fr-FR"/>
        </w:rPr>
        <w:t xml:space="preserve">IV a. Lisez les descripteurs de compétences proposés par le </w:t>
      </w:r>
      <w:r w:rsidR="0007543F">
        <w:rPr>
          <w:rFonts w:asciiTheme="minorHAnsi" w:hAnsiTheme="minorHAnsi" w:cstheme="minorHAnsi"/>
          <w:i/>
          <w:iCs/>
          <w:lang w:val="fr-FR"/>
        </w:rPr>
        <w:t>Référentiel</w:t>
      </w:r>
      <w:r w:rsidRPr="005C1517">
        <w:rPr>
          <w:rFonts w:asciiTheme="minorHAnsi" w:hAnsiTheme="minorHAnsi" w:cstheme="minorHAnsi"/>
          <w:i/>
          <w:iCs/>
          <w:lang w:val="fr-FR"/>
        </w:rPr>
        <w:t xml:space="preserve">. </w:t>
      </w:r>
    </w:p>
    <w:p w14:paraId="1BDC2E7D" w14:textId="45A00D43" w:rsidR="00221074" w:rsidRPr="005C1517" w:rsidRDefault="00221074" w:rsidP="00221074">
      <w:pPr>
        <w:spacing w:before="100" w:beforeAutospacing="1" w:after="100" w:afterAutospacing="1"/>
        <w:jc w:val="both"/>
        <w:outlineLvl w:val="0"/>
        <w:rPr>
          <w:rFonts w:asciiTheme="minorHAnsi" w:hAnsiTheme="minorHAnsi" w:cstheme="minorHAnsi"/>
          <w:lang w:val="fr-FR"/>
        </w:rPr>
      </w:pPr>
      <w:r w:rsidRPr="005C1517">
        <w:rPr>
          <w:rFonts w:asciiTheme="minorHAnsi" w:hAnsiTheme="minorHAnsi" w:cstheme="minorHAnsi"/>
          <w:lang w:val="fr-FR"/>
        </w:rPr>
        <w:t xml:space="preserve">Listez les compétences que vous considérez comme prioritaires dans votre contexte spécifique et justifiez vos choix. </w:t>
      </w:r>
    </w:p>
    <w:tbl>
      <w:tblPr>
        <w:tblStyle w:val="TableGrid"/>
        <w:tblW w:w="0" w:type="auto"/>
        <w:tblLook w:val="04A0" w:firstRow="1" w:lastRow="0" w:firstColumn="1" w:lastColumn="0" w:noHBand="0" w:noVBand="1"/>
      </w:tblPr>
      <w:tblGrid>
        <w:gridCol w:w="9056"/>
      </w:tblGrid>
      <w:tr w:rsidR="00221074" w:rsidRPr="005C1517" w14:paraId="76E9F65C" w14:textId="77777777" w:rsidTr="006970E8">
        <w:tc>
          <w:tcPr>
            <w:tcW w:w="13996" w:type="dxa"/>
          </w:tcPr>
          <w:p w14:paraId="68F036A4" w14:textId="77777777" w:rsidR="00221074" w:rsidRPr="005C1517" w:rsidRDefault="00221074" w:rsidP="006970E8">
            <w:pPr>
              <w:pStyle w:val="NormalWeb"/>
              <w:spacing w:before="0" w:beforeAutospacing="0" w:after="0" w:afterAutospacing="0"/>
              <w:jc w:val="both"/>
              <w:rPr>
                <w:rFonts w:asciiTheme="minorHAnsi" w:eastAsiaTheme="minorEastAsia" w:hAnsiTheme="minorHAnsi" w:cstheme="minorHAnsi"/>
                <w:b/>
                <w:bCs/>
                <w:color w:val="000000" w:themeColor="text1"/>
                <w:kern w:val="24"/>
                <w:sz w:val="24"/>
                <w:szCs w:val="24"/>
                <w:lang w:val="fr-FR"/>
              </w:rPr>
            </w:pPr>
            <w:r w:rsidRPr="005C1517">
              <w:rPr>
                <w:rFonts w:asciiTheme="minorHAnsi" w:eastAsiaTheme="minorEastAsia" w:hAnsiTheme="minorHAnsi" w:cstheme="minorHAnsi"/>
                <w:b/>
                <w:bCs/>
                <w:color w:val="000000" w:themeColor="text1"/>
                <w:kern w:val="24"/>
                <w:sz w:val="24"/>
                <w:szCs w:val="24"/>
                <w:lang w:val="fr-FR"/>
              </w:rPr>
              <w:t xml:space="preserve">6.2 Collaboration avec d’autres </w:t>
            </w:r>
            <w:proofErr w:type="spellStart"/>
            <w:r w:rsidRPr="005C1517">
              <w:rPr>
                <w:rFonts w:asciiTheme="minorHAnsi" w:eastAsiaTheme="minorEastAsia" w:hAnsiTheme="minorHAnsi" w:cstheme="minorHAnsi"/>
                <w:b/>
                <w:bCs/>
                <w:color w:val="000000" w:themeColor="text1"/>
                <w:kern w:val="24"/>
                <w:sz w:val="24"/>
                <w:szCs w:val="24"/>
                <w:lang w:val="fr-FR"/>
              </w:rPr>
              <w:t>enseignant·es</w:t>
            </w:r>
            <w:proofErr w:type="spellEnd"/>
          </w:p>
          <w:p w14:paraId="626D2B7C"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strike/>
                <w:color w:val="000000" w:themeColor="text1"/>
                <w:kern w:val="24"/>
                <w:sz w:val="24"/>
                <w:szCs w:val="24"/>
                <w:lang w:val="fr-FR"/>
              </w:rPr>
            </w:pPr>
          </w:p>
          <w:p w14:paraId="112A2232" w14:textId="42A0D644" w:rsidR="00221074" w:rsidRPr="005C1517" w:rsidRDefault="00221074" w:rsidP="006970E8">
            <w:pPr>
              <w:pStyle w:val="NormalWeb"/>
              <w:spacing w:before="0" w:beforeAutospacing="0" w:after="0" w:afterAutospacing="0"/>
              <w:jc w:val="both"/>
              <w:rPr>
                <w:rFonts w:asciiTheme="minorHAnsi" w:eastAsia="Calibri" w:hAnsiTheme="minorHAnsi" w:cstheme="minorHAnsi"/>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coconstruire avec d’autres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des actions communes d’éducation plurilingue et interculturelle.</w:t>
            </w:r>
            <w:r w:rsidRPr="005C1517">
              <w:rPr>
                <w:rFonts w:asciiTheme="minorHAnsi" w:eastAsia="Calibri" w:hAnsiTheme="minorHAnsi" w:cstheme="minorHAnsi"/>
                <w:color w:val="000000" w:themeColor="text1"/>
                <w:kern w:val="24"/>
                <w:sz w:val="24"/>
                <w:szCs w:val="24"/>
                <w:lang w:val="fr-FR"/>
              </w:rPr>
              <w:t xml:space="preserve"> (6.2-a)</w:t>
            </w:r>
          </w:p>
          <w:p w14:paraId="186E8C18" w14:textId="77777777" w:rsidR="00221074" w:rsidRPr="005C1517" w:rsidRDefault="00221074" w:rsidP="006970E8">
            <w:pPr>
              <w:pStyle w:val="NormalWeb"/>
              <w:spacing w:before="0" w:beforeAutospacing="0" w:after="0" w:afterAutospacing="0"/>
              <w:jc w:val="both"/>
              <w:rPr>
                <w:rFonts w:asciiTheme="minorHAnsi" w:hAnsiTheme="minorHAnsi" w:cstheme="minorHAnsi"/>
                <w:i/>
                <w:iCs/>
                <w:sz w:val="24"/>
                <w:szCs w:val="24"/>
                <w:lang w:val="fr-FR"/>
              </w:rPr>
            </w:pPr>
          </w:p>
          <w:p w14:paraId="64012379"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développer avec des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de langues et/ou d’autres matières des projets interdisciplinaires dans la perspective d’une éducation plurilingue et interculturelle par les approches plurielles. </w:t>
            </w:r>
            <w:r w:rsidRPr="005C1517">
              <w:rPr>
                <w:rFonts w:asciiTheme="minorHAnsi" w:eastAsia="Calibri" w:hAnsiTheme="minorHAnsi" w:cstheme="minorHAnsi"/>
                <w:color w:val="000000" w:themeColor="text1"/>
                <w:kern w:val="24"/>
                <w:sz w:val="24"/>
                <w:szCs w:val="24"/>
                <w:lang w:val="fr-FR"/>
              </w:rPr>
              <w:t>(6.2-b)</w:t>
            </w:r>
          </w:p>
          <w:p w14:paraId="1ABABFFC"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p>
          <w:p w14:paraId="0963F706"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identifier avec d’autres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de langues les liens à établir entre les langues qui sont apprises par chaque </w:t>
            </w:r>
            <w:proofErr w:type="spellStart"/>
            <w:r w:rsidRPr="005C1517">
              <w:rPr>
                <w:rFonts w:asciiTheme="minorHAnsi" w:eastAsia="Calibri" w:hAnsiTheme="minorHAnsi" w:cstheme="minorHAnsi"/>
                <w:i/>
                <w:iCs/>
                <w:color w:val="000000" w:themeColor="text1"/>
                <w:kern w:val="24"/>
                <w:sz w:val="24"/>
                <w:szCs w:val="24"/>
                <w:lang w:val="fr-FR"/>
              </w:rPr>
              <w:t>apprenant·e</w:t>
            </w:r>
            <w:proofErr w:type="spellEnd"/>
            <w:r w:rsidRPr="005C1517">
              <w:rPr>
                <w:rFonts w:asciiTheme="minorHAnsi" w:eastAsia="Calibri" w:hAnsiTheme="minorHAnsi" w:cstheme="minorHAnsi"/>
                <w:i/>
                <w:iCs/>
                <w:color w:val="000000" w:themeColor="text1"/>
                <w:kern w:val="24"/>
                <w:sz w:val="24"/>
                <w:szCs w:val="24"/>
                <w:lang w:val="fr-FR"/>
              </w:rPr>
              <w:t>.</w:t>
            </w:r>
            <w:r w:rsidRPr="005C1517">
              <w:rPr>
                <w:rFonts w:asciiTheme="minorHAnsi" w:eastAsia="Calibri" w:hAnsiTheme="minorHAnsi" w:cstheme="minorHAnsi"/>
                <w:color w:val="000000" w:themeColor="text1"/>
                <w:kern w:val="24"/>
                <w:sz w:val="24"/>
                <w:szCs w:val="24"/>
                <w:lang w:val="fr-FR"/>
              </w:rPr>
              <w:t xml:space="preserve"> (6.2-c)</w:t>
            </w:r>
          </w:p>
          <w:p w14:paraId="5B0857CD"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p>
          <w:p w14:paraId="6A1D3D45"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travailler entre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de langues et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d’autres disciplines, pour mettre en évidence le rôle des dimensions langagières dans tout apprentissage et établir des liens entre leurs enseignements respectifs.</w:t>
            </w:r>
            <w:r w:rsidRPr="005C1517">
              <w:rPr>
                <w:rFonts w:asciiTheme="minorHAnsi" w:eastAsia="Calibri" w:hAnsiTheme="minorHAnsi" w:cstheme="minorHAnsi"/>
                <w:color w:val="000000" w:themeColor="text1"/>
                <w:kern w:val="24"/>
                <w:sz w:val="24"/>
                <w:szCs w:val="24"/>
                <w:lang w:val="fr-FR"/>
              </w:rPr>
              <w:t xml:space="preserve"> (6.2-d)</w:t>
            </w:r>
          </w:p>
          <w:p w14:paraId="7EC46C2F"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p>
          <w:p w14:paraId="50774B66"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construire et utiliser une terminologie commune pour les enseignements relatifs aux langues / cultures. </w:t>
            </w:r>
            <w:r w:rsidRPr="005C1517">
              <w:rPr>
                <w:rFonts w:asciiTheme="minorHAnsi" w:eastAsia="Calibri" w:hAnsiTheme="minorHAnsi" w:cstheme="minorHAnsi"/>
                <w:color w:val="000000" w:themeColor="text1"/>
                <w:kern w:val="24"/>
                <w:sz w:val="24"/>
                <w:szCs w:val="24"/>
                <w:lang w:val="fr-FR"/>
              </w:rPr>
              <w:t>(6.2-e)</w:t>
            </w:r>
          </w:p>
          <w:p w14:paraId="0B945981"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p>
          <w:p w14:paraId="553A6E59" w14:textId="77777777" w:rsidR="00221074" w:rsidRPr="005C1517" w:rsidRDefault="00221074" w:rsidP="006970E8">
            <w:pPr>
              <w:pStyle w:val="NormalWeb"/>
              <w:spacing w:before="0" w:beforeAutospacing="0" w:after="0" w:afterAutospacing="0"/>
              <w:jc w:val="both"/>
              <w:rPr>
                <w:rFonts w:asciiTheme="minorHAnsi" w:eastAsia="Calibri" w:hAnsiTheme="minorHAnsi" w:cstheme="minorHAnsi"/>
                <w:i/>
                <w:iCs/>
                <w:color w:val="000000" w:themeColor="text1"/>
                <w:kern w:val="24"/>
                <w:sz w:val="24"/>
                <w:szCs w:val="24"/>
                <w:lang w:val="fr-FR"/>
              </w:rPr>
            </w:pPr>
            <w:r w:rsidRPr="005C1517">
              <w:rPr>
                <w:rFonts w:asciiTheme="minorHAnsi" w:eastAsia="Calibri" w:hAnsiTheme="minorHAnsi" w:cstheme="minorHAnsi"/>
                <w:i/>
                <w:iCs/>
                <w:color w:val="000000" w:themeColor="text1"/>
                <w:kern w:val="24"/>
                <w:sz w:val="24"/>
                <w:szCs w:val="24"/>
                <w:lang w:val="fr-FR"/>
              </w:rPr>
              <w:t xml:space="preserve">Compétence à définir avec d’autres </w:t>
            </w:r>
            <w:proofErr w:type="spellStart"/>
            <w:r w:rsidRPr="005C1517">
              <w:rPr>
                <w:rFonts w:asciiTheme="minorHAnsi" w:eastAsia="Calibri" w:hAnsiTheme="minorHAnsi" w:cstheme="minorHAnsi"/>
                <w:i/>
                <w:iCs/>
                <w:color w:val="000000" w:themeColor="text1"/>
                <w:kern w:val="24"/>
                <w:sz w:val="24"/>
                <w:szCs w:val="24"/>
                <w:lang w:val="fr-FR"/>
              </w:rPr>
              <w:t>enseignant·es</w:t>
            </w:r>
            <w:proofErr w:type="spellEnd"/>
            <w:r w:rsidRPr="005C1517">
              <w:rPr>
                <w:rFonts w:asciiTheme="minorHAnsi" w:eastAsia="Calibri" w:hAnsiTheme="minorHAnsi" w:cstheme="minorHAnsi"/>
                <w:i/>
                <w:iCs/>
                <w:color w:val="000000" w:themeColor="text1"/>
                <w:kern w:val="24"/>
                <w:sz w:val="24"/>
                <w:szCs w:val="24"/>
                <w:lang w:val="fr-FR"/>
              </w:rPr>
              <w:t xml:space="preserve"> des critères et outils cohérents pour l’évaluation des acquis et des progrès des </w:t>
            </w:r>
            <w:proofErr w:type="spellStart"/>
            <w:r w:rsidRPr="005C1517">
              <w:rPr>
                <w:rFonts w:asciiTheme="minorHAnsi" w:eastAsia="Calibri" w:hAnsiTheme="minorHAnsi" w:cstheme="minorHAnsi"/>
                <w:i/>
                <w:iCs/>
                <w:color w:val="000000" w:themeColor="text1"/>
                <w:kern w:val="24"/>
                <w:sz w:val="24"/>
                <w:szCs w:val="24"/>
                <w:lang w:val="fr-FR"/>
              </w:rPr>
              <w:t>apprenant·es</w:t>
            </w:r>
            <w:proofErr w:type="spellEnd"/>
            <w:r w:rsidRPr="005C1517">
              <w:rPr>
                <w:rFonts w:asciiTheme="minorHAnsi" w:eastAsia="Calibri" w:hAnsiTheme="minorHAnsi" w:cstheme="minorHAnsi"/>
                <w:i/>
                <w:iCs/>
                <w:color w:val="000000" w:themeColor="text1"/>
                <w:kern w:val="24"/>
                <w:sz w:val="24"/>
                <w:szCs w:val="24"/>
                <w:lang w:val="fr-FR"/>
              </w:rPr>
              <w:t xml:space="preserve"> en termes de développement de leur répertoire plurilingue et interculturel.</w:t>
            </w:r>
            <w:r w:rsidRPr="005C1517">
              <w:rPr>
                <w:rFonts w:asciiTheme="minorHAnsi" w:eastAsia="Calibri" w:hAnsiTheme="minorHAnsi" w:cstheme="minorHAnsi"/>
                <w:color w:val="000000" w:themeColor="text1"/>
                <w:kern w:val="24"/>
                <w:sz w:val="24"/>
                <w:szCs w:val="24"/>
                <w:lang w:val="fr-FR"/>
              </w:rPr>
              <w:t xml:space="preserve"> (6.2-f)</w:t>
            </w:r>
          </w:p>
          <w:p w14:paraId="3DA826EC" w14:textId="77777777" w:rsidR="00221074" w:rsidRPr="005C1517" w:rsidRDefault="00221074" w:rsidP="006970E8">
            <w:pPr>
              <w:jc w:val="both"/>
              <w:rPr>
                <w:rFonts w:asciiTheme="minorHAnsi" w:hAnsiTheme="minorHAnsi" w:cstheme="minorHAnsi"/>
                <w:sz w:val="24"/>
                <w:szCs w:val="24"/>
              </w:rPr>
            </w:pPr>
          </w:p>
        </w:tc>
      </w:tr>
    </w:tbl>
    <w:p w14:paraId="089D2455" w14:textId="77777777" w:rsidR="00221074" w:rsidRPr="005C1517" w:rsidRDefault="00221074" w:rsidP="00221074">
      <w:pPr>
        <w:jc w:val="both"/>
        <w:rPr>
          <w:rFonts w:asciiTheme="minorHAnsi" w:hAnsiTheme="minorHAnsi" w:cstheme="minorHAnsi"/>
          <w:lang w:val="fr-FR"/>
        </w:rPr>
      </w:pPr>
    </w:p>
    <w:p w14:paraId="0F877C91" w14:textId="77777777" w:rsidR="00221074" w:rsidRPr="005C1517" w:rsidRDefault="00221074" w:rsidP="00221074">
      <w:pPr>
        <w:jc w:val="both"/>
        <w:rPr>
          <w:rFonts w:asciiTheme="minorHAnsi" w:hAnsiTheme="minorHAnsi" w:cstheme="minorHAnsi"/>
          <w:lang w:val="fr-FR"/>
        </w:rPr>
      </w:pPr>
    </w:p>
    <w:p w14:paraId="5BC2762E" w14:textId="77777777"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IV b. Prenant en compte </w:t>
      </w:r>
      <w:proofErr w:type="gramStart"/>
      <w:r w:rsidRPr="005C1517">
        <w:rPr>
          <w:rFonts w:asciiTheme="minorHAnsi" w:hAnsiTheme="minorHAnsi" w:cstheme="minorHAnsi"/>
          <w:lang w:val="fr-FR"/>
        </w:rPr>
        <w:t>les caractéristique</w:t>
      </w:r>
      <w:proofErr w:type="gramEnd"/>
      <w:r w:rsidRPr="005C1517">
        <w:rPr>
          <w:rFonts w:asciiTheme="minorHAnsi" w:hAnsiTheme="minorHAnsi" w:cstheme="minorHAnsi"/>
          <w:lang w:val="fr-FR"/>
        </w:rPr>
        <w:t xml:space="preserve"> des compétences de collaboration, telles que vous les avez définies dans l’étape précédente, identifiez celles qui, d’après vous, sont les plus utiles pour développer les compétences de collaboration que vous avez listées pour la mise en </w:t>
      </w:r>
      <w:proofErr w:type="spellStart"/>
      <w:r w:rsidRPr="005C1517">
        <w:rPr>
          <w:rFonts w:asciiTheme="minorHAnsi" w:hAnsiTheme="minorHAnsi" w:cstheme="minorHAnsi"/>
          <w:lang w:val="fr-FR"/>
        </w:rPr>
        <w:t>oeuvre</w:t>
      </w:r>
      <w:proofErr w:type="spellEnd"/>
      <w:r w:rsidRPr="005C1517">
        <w:rPr>
          <w:rFonts w:asciiTheme="minorHAnsi" w:hAnsiTheme="minorHAnsi" w:cstheme="minorHAnsi"/>
          <w:lang w:val="fr-FR"/>
        </w:rPr>
        <w:t xml:space="preserve"> des AP dans votre contexte.</w:t>
      </w:r>
    </w:p>
    <w:p w14:paraId="4E3CA2B2" w14:textId="77777777" w:rsidR="00221074" w:rsidRPr="005C1517" w:rsidRDefault="00221074" w:rsidP="00221074">
      <w:pPr>
        <w:jc w:val="both"/>
        <w:rPr>
          <w:rFonts w:asciiTheme="minorHAnsi" w:hAnsiTheme="minorHAnsi" w:cstheme="minorHAnsi"/>
          <w:lang w:val="fr-FR"/>
        </w:rPr>
      </w:pPr>
    </w:p>
    <w:p w14:paraId="073A544B" w14:textId="77777777" w:rsidR="00221074" w:rsidRPr="005C1517" w:rsidRDefault="00221074" w:rsidP="00221074">
      <w:pPr>
        <w:jc w:val="both"/>
        <w:rPr>
          <w:rFonts w:asciiTheme="minorHAnsi" w:hAnsiTheme="minorHAnsi" w:cstheme="minorHAnsi"/>
          <w:b/>
          <w:bCs/>
          <w:lang w:val="fr-FR"/>
        </w:rPr>
      </w:pPr>
      <w:r w:rsidRPr="005C1517">
        <w:rPr>
          <w:rFonts w:asciiTheme="minorHAnsi" w:hAnsiTheme="minorHAnsi" w:cstheme="minorHAnsi"/>
          <w:lang w:val="fr-FR"/>
        </w:rPr>
        <w:t>IV c. Discutez-en en groupe.</w:t>
      </w:r>
    </w:p>
    <w:p w14:paraId="63C07B9D" w14:textId="77777777" w:rsidR="00221074" w:rsidRPr="005C1517" w:rsidRDefault="00221074" w:rsidP="00221074">
      <w:pPr>
        <w:jc w:val="both"/>
        <w:rPr>
          <w:rFonts w:asciiTheme="minorHAnsi" w:hAnsiTheme="minorHAnsi" w:cstheme="minorHAnsi"/>
          <w:b/>
          <w:bCs/>
          <w:lang w:val="fr-FR"/>
        </w:rPr>
      </w:pPr>
    </w:p>
    <w:p w14:paraId="6A5322FB" w14:textId="1A305397" w:rsidR="00221074" w:rsidRPr="00952CE4" w:rsidRDefault="00221074" w:rsidP="00221074">
      <w:pPr>
        <w:jc w:val="both"/>
        <w:rPr>
          <w:rFonts w:ascii="Century Gothic" w:hAnsi="Century Gothic" w:cstheme="minorHAnsi"/>
          <w:b/>
          <w:bCs/>
          <w:sz w:val="28"/>
          <w:szCs w:val="28"/>
          <w:lang w:val="fr-FR"/>
        </w:rPr>
      </w:pPr>
      <w:r w:rsidRPr="00952CE4">
        <w:rPr>
          <w:rFonts w:ascii="Century Gothic" w:hAnsi="Century Gothic" w:cstheme="minorHAnsi"/>
          <w:b/>
          <w:bCs/>
          <w:sz w:val="28"/>
          <w:szCs w:val="28"/>
          <w:lang w:val="fr-FR"/>
        </w:rPr>
        <w:t xml:space="preserve">Étape V. </w:t>
      </w:r>
      <w:r w:rsidR="00C904D8" w:rsidRPr="00952CE4">
        <w:rPr>
          <w:rFonts w:ascii="Century Gothic" w:hAnsi="Century Gothic" w:cstheme="minorHAnsi"/>
          <w:b/>
          <w:bCs/>
          <w:sz w:val="28"/>
          <w:szCs w:val="28"/>
          <w:lang w:val="fr-FR"/>
        </w:rPr>
        <w:t>Coconstruire</w:t>
      </w:r>
      <w:r w:rsidRPr="00952CE4">
        <w:rPr>
          <w:rFonts w:ascii="Century Gothic" w:hAnsi="Century Gothic" w:cstheme="minorHAnsi"/>
          <w:b/>
          <w:bCs/>
          <w:sz w:val="28"/>
          <w:szCs w:val="28"/>
          <w:lang w:val="fr-FR"/>
        </w:rPr>
        <w:t xml:space="preserve"> un glossaire multilingue</w:t>
      </w:r>
    </w:p>
    <w:p w14:paraId="1271D512" w14:textId="314BFF2A" w:rsidR="00221074" w:rsidRPr="005C1517" w:rsidRDefault="00221074" w:rsidP="00221074">
      <w:pPr>
        <w:jc w:val="both"/>
        <w:rPr>
          <w:rFonts w:asciiTheme="minorHAnsi" w:hAnsiTheme="minorHAnsi" w:cstheme="minorHAnsi"/>
          <w:lang w:val="fr-FR"/>
        </w:rPr>
      </w:pPr>
      <w:r w:rsidRPr="005C1517">
        <w:rPr>
          <w:rFonts w:asciiTheme="minorHAnsi" w:hAnsiTheme="minorHAnsi" w:cstheme="minorHAnsi"/>
          <w:lang w:val="fr-FR"/>
        </w:rPr>
        <w:t xml:space="preserve">Collaborez avec vos collègues, </w:t>
      </w:r>
      <w:proofErr w:type="spellStart"/>
      <w:r w:rsidRPr="005C1517">
        <w:rPr>
          <w:rFonts w:asciiTheme="minorHAnsi" w:hAnsiTheme="minorHAnsi" w:cstheme="minorHAnsi"/>
          <w:color w:val="000000" w:themeColor="text1"/>
          <w:kern w:val="24"/>
          <w:lang w:val="fr-FR"/>
        </w:rPr>
        <w:t>enseignant·es</w:t>
      </w:r>
      <w:proofErr w:type="spellEnd"/>
      <w:r w:rsidRPr="005C1517">
        <w:rPr>
          <w:rFonts w:asciiTheme="minorHAnsi" w:hAnsiTheme="minorHAnsi" w:cstheme="minorHAnsi"/>
          <w:color w:val="000000" w:themeColor="text1"/>
          <w:kern w:val="24"/>
          <w:lang w:val="fr-FR"/>
        </w:rPr>
        <w:t xml:space="preserve"> </w:t>
      </w:r>
      <w:r w:rsidRPr="005C1517">
        <w:rPr>
          <w:rFonts w:asciiTheme="minorHAnsi" w:hAnsiTheme="minorHAnsi" w:cstheme="minorHAnsi"/>
          <w:lang w:val="fr-FR"/>
        </w:rPr>
        <w:t xml:space="preserve">de langues et/ou formateurs et formatrices, pour </w:t>
      </w:r>
      <w:r w:rsidR="00C904D8" w:rsidRPr="005C1517">
        <w:rPr>
          <w:rFonts w:asciiTheme="minorHAnsi" w:hAnsiTheme="minorHAnsi" w:cstheme="minorHAnsi"/>
          <w:lang w:val="fr-FR"/>
        </w:rPr>
        <w:t>coconstruire</w:t>
      </w:r>
      <w:r w:rsidRPr="005C1517">
        <w:rPr>
          <w:rFonts w:asciiTheme="minorHAnsi" w:hAnsiTheme="minorHAnsi" w:cstheme="minorHAnsi"/>
          <w:lang w:val="fr-FR"/>
        </w:rPr>
        <w:t xml:space="preserve"> un glossaire multilingue (au moins 10 entrées) des concepts-clés de l’éducation plurilingue et interculturelle à faire partager à l’ensemble de votre institution.</w:t>
      </w:r>
    </w:p>
    <w:p w14:paraId="3407DDDE" w14:textId="77777777" w:rsidR="00221074" w:rsidRPr="005C1517" w:rsidRDefault="00221074" w:rsidP="00221074">
      <w:pPr>
        <w:jc w:val="both"/>
        <w:rPr>
          <w:rFonts w:asciiTheme="minorHAnsi" w:hAnsiTheme="minorHAnsi" w:cstheme="minorHAnsi"/>
          <w:lang w:val="fr-FR"/>
        </w:rPr>
      </w:pPr>
    </w:p>
    <w:p w14:paraId="2CD76EAF" w14:textId="77777777" w:rsidR="00221074" w:rsidRPr="005C1517" w:rsidRDefault="00221074" w:rsidP="00221074">
      <w:pPr>
        <w:pStyle w:val="Heading2"/>
        <w:jc w:val="both"/>
        <w:rPr>
          <w:rFonts w:asciiTheme="minorHAnsi" w:hAnsiTheme="minorHAnsi" w:cstheme="minorHAnsi"/>
          <w:b w:val="0"/>
          <w:bCs/>
          <w:sz w:val="24"/>
          <w:szCs w:val="24"/>
          <w:lang w:val="fr-FR"/>
        </w:rPr>
      </w:pPr>
    </w:p>
    <w:p w14:paraId="5FBDEBAA" w14:textId="77777777" w:rsidR="00221074" w:rsidRPr="005C1517" w:rsidRDefault="00221074" w:rsidP="00221074">
      <w:pPr>
        <w:ind w:left="360"/>
        <w:jc w:val="both"/>
        <w:rPr>
          <w:rFonts w:asciiTheme="minorHAnsi" w:hAnsiTheme="minorHAnsi" w:cstheme="minorHAnsi"/>
          <w:lang w:val="fr-FR"/>
        </w:rPr>
      </w:pPr>
    </w:p>
    <w:p w14:paraId="1406CC86" w14:textId="77777777" w:rsidR="00221074" w:rsidRPr="005C1517" w:rsidRDefault="00221074" w:rsidP="00221074">
      <w:pPr>
        <w:jc w:val="both"/>
        <w:rPr>
          <w:rFonts w:asciiTheme="minorHAnsi" w:hAnsiTheme="minorHAnsi" w:cstheme="minorHAnsi"/>
          <w:lang w:val="fr-FR"/>
        </w:rPr>
      </w:pPr>
    </w:p>
    <w:p w14:paraId="63E0FC81" w14:textId="77777777" w:rsidR="00221074" w:rsidRPr="005C1517" w:rsidRDefault="00221074" w:rsidP="00221074">
      <w:pPr>
        <w:jc w:val="both"/>
        <w:rPr>
          <w:rFonts w:asciiTheme="minorHAnsi" w:hAnsiTheme="minorHAnsi" w:cstheme="minorHAnsi"/>
          <w:lang w:val="fr-FR"/>
        </w:rPr>
      </w:pPr>
    </w:p>
    <w:p w14:paraId="03B34C04" w14:textId="77777777" w:rsidR="00EC4FCD" w:rsidRPr="005C1517" w:rsidRDefault="00EC4FCD">
      <w:pPr>
        <w:rPr>
          <w:rFonts w:asciiTheme="minorHAnsi" w:hAnsiTheme="minorHAnsi" w:cstheme="minorHAnsi"/>
          <w:lang w:val="fr-FR"/>
        </w:rPr>
      </w:pPr>
    </w:p>
    <w:sectPr w:rsidR="00EC4FCD" w:rsidRPr="005C1517" w:rsidSect="0007543F">
      <w:headerReference w:type="even" r:id="rId13"/>
      <w:headerReference w:type="default" r:id="rId14"/>
      <w:footerReference w:type="even" r:id="rId15"/>
      <w:footerReference w:type="default" r:id="rId16"/>
      <w:headerReference w:type="first" r:id="rId17"/>
      <w:footerReference w:type="first" r:id="rId18"/>
      <w:pgSz w:w="11900" w:h="16820"/>
      <w:pgMar w:top="1417" w:right="1417" w:bottom="1134" w:left="1417" w:header="425" w:footer="23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086E" w14:textId="77777777" w:rsidR="00DC33DE" w:rsidRDefault="00DC33DE" w:rsidP="00221074">
      <w:r>
        <w:separator/>
      </w:r>
    </w:p>
  </w:endnote>
  <w:endnote w:type="continuationSeparator" w:id="0">
    <w:p w14:paraId="0E23A6BC" w14:textId="77777777" w:rsidR="00DC33DE" w:rsidRDefault="00DC33DE" w:rsidP="002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128980"/>
      <w:docPartObj>
        <w:docPartGallery w:val="Page Numbers (Bottom of Page)"/>
        <w:docPartUnique/>
      </w:docPartObj>
    </w:sdtPr>
    <w:sdtContent>
      <w:p w14:paraId="542812B7" w14:textId="315C5C89" w:rsidR="00EC4FCD" w:rsidRDefault="00631246" w:rsidP="00EB1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517">
          <w:rPr>
            <w:rStyle w:val="PageNumber"/>
            <w:noProof/>
          </w:rPr>
          <w:t>1</w:t>
        </w:r>
        <w:r>
          <w:rPr>
            <w:rStyle w:val="PageNumber"/>
          </w:rPr>
          <w:fldChar w:fldCharType="end"/>
        </w:r>
      </w:p>
    </w:sdtContent>
  </w:sdt>
  <w:p w14:paraId="2062D63E" w14:textId="77777777" w:rsidR="00EC4FCD" w:rsidRDefault="00EC4FCD" w:rsidP="00CC2A7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49E" w14:textId="7A8AF406" w:rsidR="00EC4FCD" w:rsidRDefault="00EC4FCD" w:rsidP="00EB165D">
    <w:pPr>
      <w:pStyle w:val="Footer"/>
      <w:framePr w:wrap="none" w:vAnchor="text" w:hAnchor="margin" w:xAlign="right" w:y="1"/>
      <w:rPr>
        <w:rStyle w:val="PageNumber"/>
      </w:rPr>
    </w:pPr>
  </w:p>
  <w:p w14:paraId="3AFE1D39" w14:textId="28006809" w:rsidR="00EC4FCD" w:rsidRDefault="005C1517" w:rsidP="005C1517">
    <w:pPr>
      <w:pBdr>
        <w:top w:val="nil"/>
        <w:left w:val="nil"/>
        <w:bottom w:val="nil"/>
        <w:right w:val="nil"/>
        <w:between w:val="nil"/>
      </w:pBdr>
      <w:tabs>
        <w:tab w:val="center" w:pos="4536"/>
        <w:tab w:val="right" w:pos="9072"/>
      </w:tabs>
      <w:ind w:right="360"/>
      <w:jc w:val="right"/>
      <w:rPr>
        <w:color w:val="000000"/>
      </w:rPr>
    </w:pPr>
    <w:r>
      <w:rPr>
        <w:noProof/>
        <w:sz w:val="18"/>
        <w:lang w:val="de-AT" w:eastAsia="de-AT"/>
      </w:rPr>
      <w:drawing>
        <wp:inline distT="0" distB="0" distL="0" distR="0" wp14:anchorId="32A3DDD0" wp14:editId="53814569">
          <wp:extent cx="1572791" cy="536575"/>
          <wp:effectExtent l="0" t="0" r="8890" b="0"/>
          <wp:docPr id="24" name="Grafik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415" w14:textId="09360633" w:rsidR="0078346B" w:rsidRDefault="0078346B">
    <w:r>
      <w:rPr>
        <w:noProof/>
        <w:sz w:val="18"/>
        <w:lang w:val="de-AT" w:eastAsia="de-AT"/>
      </w:rPr>
      <mc:AlternateContent>
        <mc:Choice Requires="wps">
          <w:drawing>
            <wp:anchor distT="0" distB="0" distL="114300" distR="114300" simplePos="0" relativeHeight="251659264" behindDoc="0" locked="0" layoutInCell="1" allowOverlap="1" wp14:anchorId="78988B2C" wp14:editId="51CF28AF">
              <wp:simplePos x="0" y="0"/>
              <wp:positionH relativeFrom="column">
                <wp:posOffset>-88032</wp:posOffset>
              </wp:positionH>
              <wp:positionV relativeFrom="paragraph">
                <wp:posOffset>112472</wp:posOffset>
              </wp:positionV>
              <wp:extent cx="4226768"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226768"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05F1F"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8.85pt" to="3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78346B" w14:paraId="135794CF" w14:textId="77777777" w:rsidTr="00233FEB">
      <w:trPr>
        <w:trHeight w:val="574"/>
      </w:trPr>
      <w:tc>
        <w:tcPr>
          <w:tcW w:w="6805" w:type="dxa"/>
        </w:tcPr>
        <w:p w14:paraId="685221D5" w14:textId="77777777" w:rsidR="0078346B" w:rsidRPr="00565184" w:rsidRDefault="0078346B" w:rsidP="0078346B">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31E8D82C" w14:textId="77777777" w:rsidR="0078346B" w:rsidRPr="00980D8A" w:rsidRDefault="0078346B" w:rsidP="0078346B">
          <w:pPr>
            <w:ind w:left="33"/>
            <w:rPr>
              <w:lang w:val="fr-FR"/>
            </w:rPr>
          </w:pPr>
          <w:r>
            <w:rPr>
              <w:rFonts w:cstheme="minorHAnsi"/>
              <w:sz w:val="16"/>
              <w:szCs w:val="16"/>
              <w:lang w:val="fr-FR"/>
            </w:rPr>
            <w:t>Gerber</w:t>
          </w:r>
          <w:r w:rsidRPr="00045BA2">
            <w:rPr>
              <w:rFonts w:cstheme="minorHAnsi"/>
              <w:sz w:val="16"/>
              <w:szCs w:val="16"/>
              <w:lang w:val="fr-FR"/>
            </w:rPr>
            <w:t xml:space="preserve"> </w:t>
          </w:r>
          <w:r>
            <w:rPr>
              <w:rFonts w:cstheme="minorHAnsi"/>
              <w:sz w:val="16"/>
              <w:szCs w:val="16"/>
              <w:lang w:val="fr-FR"/>
            </w:rPr>
            <w:t xml:space="preserve">Brigitte </w:t>
          </w:r>
          <w:r w:rsidRPr="00045BA2">
            <w:rPr>
              <w:rFonts w:cstheme="minorHAnsi"/>
              <w:sz w:val="16"/>
              <w:szCs w:val="16"/>
              <w:lang w:val="fr-FR"/>
            </w:rPr>
            <w:t>(</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sz w:val="16"/>
              <w:szCs w:val="16"/>
              <w:lang w:val="fr-FR"/>
            </w:rPr>
            <w:t>.</w:t>
          </w:r>
        </w:p>
      </w:tc>
      <w:tc>
        <w:tcPr>
          <w:tcW w:w="2693" w:type="dxa"/>
        </w:tcPr>
        <w:p w14:paraId="4CB9EA1F" w14:textId="77777777" w:rsidR="0078346B" w:rsidRPr="00F42C71" w:rsidRDefault="0078346B" w:rsidP="0078346B">
          <w:pPr>
            <w:pStyle w:val="Footer1"/>
            <w:ind w:left="33"/>
            <w:jc w:val="right"/>
            <w:rPr>
              <w:sz w:val="16"/>
              <w:szCs w:val="20"/>
            </w:rPr>
          </w:pPr>
          <w:r w:rsidRPr="00934AF0">
            <w:rPr>
              <w:noProof/>
            </w:rPr>
            <w:drawing>
              <wp:inline distT="0" distB="0" distL="0" distR="0" wp14:anchorId="21F4921B" wp14:editId="3E95E588">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52AEF0E" w14:textId="77777777" w:rsidR="00EC4FCD" w:rsidRPr="0078346B" w:rsidRDefault="00EC4FCD">
    <w:pPr>
      <w:pBdr>
        <w:top w:val="nil"/>
        <w:left w:val="nil"/>
        <w:bottom w:val="nil"/>
        <w:right w:val="nil"/>
        <w:between w:val="nil"/>
      </w:pBdr>
      <w:tabs>
        <w:tab w:val="center" w:pos="4536"/>
        <w:tab w:val="right" w:pos="9072"/>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9A5A" w14:textId="77777777" w:rsidR="00DC33DE" w:rsidRDefault="00DC33DE" w:rsidP="00221074">
      <w:r>
        <w:separator/>
      </w:r>
    </w:p>
  </w:footnote>
  <w:footnote w:type="continuationSeparator" w:id="0">
    <w:p w14:paraId="11E01276" w14:textId="77777777" w:rsidR="00DC33DE" w:rsidRDefault="00DC33DE" w:rsidP="00221074">
      <w:r>
        <w:continuationSeparator/>
      </w:r>
    </w:p>
  </w:footnote>
  <w:footnote w:id="1">
    <w:p w14:paraId="4943DA2C" w14:textId="343E4571" w:rsidR="00221074" w:rsidRPr="005C1517" w:rsidRDefault="00221074" w:rsidP="00221074">
      <w:pPr>
        <w:rPr>
          <w:rFonts w:asciiTheme="minorHAnsi" w:hAnsiTheme="minorHAnsi" w:cstheme="minorHAnsi"/>
          <w:sz w:val="20"/>
          <w:szCs w:val="20"/>
          <w:lang w:val="it-IT"/>
        </w:rPr>
      </w:pPr>
      <w:r w:rsidRPr="005C1517">
        <w:rPr>
          <w:rStyle w:val="FootnoteReference"/>
          <w:rFonts w:asciiTheme="minorHAnsi" w:hAnsiTheme="minorHAnsi" w:cstheme="minorHAnsi"/>
          <w:sz w:val="20"/>
          <w:szCs w:val="20"/>
          <w:lang w:val="it-IT"/>
        </w:rPr>
        <w:footnoteRef/>
      </w:r>
      <w:r w:rsidRPr="005C1517">
        <w:rPr>
          <w:rFonts w:asciiTheme="minorHAnsi" w:hAnsiTheme="minorHAnsi" w:cstheme="minorHAnsi"/>
          <w:sz w:val="20"/>
          <w:szCs w:val="20"/>
          <w:lang w:val="it-IT"/>
        </w:rPr>
        <w:t xml:space="preserve"> In primo luogo, sintetizzando le risposte ottenute e raggruppando fra loro i segmenti di frase più ricorrenti (</w:t>
      </w:r>
      <w:r w:rsidRPr="005C1517">
        <w:rPr>
          <w:rFonts w:asciiTheme="minorHAnsi" w:hAnsiTheme="minorHAnsi" w:cstheme="minorHAnsi"/>
          <w:i/>
          <w:iCs/>
          <w:sz w:val="20"/>
          <w:szCs w:val="20"/>
          <w:lang w:val="it-IT"/>
        </w:rPr>
        <w:t>quotations</w:t>
      </w:r>
      <w:r w:rsidRPr="005C1517">
        <w:rPr>
          <w:rFonts w:asciiTheme="minorHAnsi" w:hAnsiTheme="minorHAnsi" w:cstheme="minorHAnsi"/>
          <w:sz w:val="20"/>
          <w:szCs w:val="20"/>
          <w:lang w:val="it-IT"/>
        </w:rPr>
        <w:t>), collaborare per gli insegnanti significa “lavorare assieme attraverso un lavoro di squadra aiutandosi reciprocamente per perseguire un obiettivo comune” (Cramerotti &amp; Cattoni, 2015; Friend &amp; Cook, 2000). Emerge che la collaborazione di successo vissuta dagli insegnanti è risultata essere legata in primo luogo all’approccio metodologico-didattico utilizzato (29 risposte, tra cui ad es. coinvolgere maggiormente le famiglie, gli insegnanti di sostegno e/o i consulenti esterni, adottare sperimentazioni didattiche durante le ore curriculari come le “pause didattiche”, la suddivisione degli alunni tra “gruppo di potenziamento e gruppo di recupero”, etc.), alla disponibilità all’ascolto, al dialogo ed al confronto (16 risposte), nonché alle esperienze pregresse (otto risposte, tra cui ad es. “uscite svolte assieme” anche senza studenti, “partecipare ad un bando di concorso con gli studenti”, “rapporti di amicizia” o semplicemente “buone basi di educazione”) (Berger, 2008; Friend &amp; Cook, 2000; Ianes et al., 2015). In particolare, in questo “successo” hanno giocato un ruolo preminente capacità relazionali come la “capacità d’ascolto” e di “autoanalisi”, la “disponibilità al dialogo e al confronto”, il “rispetto reciproco”, il “sapere lavorare in team” unite alla “preparazione”, “professionalità”, “cultura” e “curiosità” degli insegnanti: questi sono apparsi elementi determinanti in tal senso.</w:t>
      </w:r>
    </w:p>
    <w:p w14:paraId="4B15A6BF" w14:textId="77777777" w:rsidR="00221074" w:rsidRPr="002A1E94" w:rsidRDefault="00221074" w:rsidP="00221074">
      <w:pPr>
        <w:pStyle w:val="FootnoteText"/>
        <w:rPr>
          <w:rFonts w:ascii="Times New Roman" w:hAnsi="Times New Roman" w:cs="Times New Roman"/>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248" w14:textId="77777777" w:rsidR="00EC4FCD" w:rsidRDefault="00EC4FC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36874"/>
      <w:docPartObj>
        <w:docPartGallery w:val="Page Numbers (Top of Page)"/>
        <w:docPartUnique/>
      </w:docPartObj>
    </w:sdtPr>
    <w:sdtEndPr>
      <w:rPr>
        <w:noProof/>
      </w:rPr>
    </w:sdtEndPr>
    <w:sdtContent>
      <w:p w14:paraId="10228CC4" w14:textId="3CFA5B73" w:rsidR="005C1517" w:rsidRDefault="005C15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B1C4B2" w14:textId="38DCF7FE" w:rsidR="00EC4FCD" w:rsidRDefault="00EC4FCD">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AE87" w14:textId="5E849C05" w:rsidR="00EC4FCD" w:rsidRDefault="00C2419A" w:rsidP="005C1517">
    <w:pPr>
      <w:pBdr>
        <w:top w:val="nil"/>
        <w:left w:val="nil"/>
        <w:bottom w:val="nil"/>
        <w:right w:val="nil"/>
        <w:between w:val="nil"/>
      </w:pBdr>
      <w:tabs>
        <w:tab w:val="center" w:pos="4536"/>
        <w:tab w:val="right" w:pos="9072"/>
      </w:tabs>
      <w:jc w:val="right"/>
      <w:rPr>
        <w:color w:val="000000"/>
      </w:rPr>
    </w:pPr>
    <w:r>
      <w:rPr>
        <w:noProof/>
        <w14:ligatures w14:val="standardContextual"/>
      </w:rPr>
      <w:drawing>
        <wp:inline distT="0" distB="0" distL="0" distR="0" wp14:anchorId="20626042" wp14:editId="791381CA">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6C80"/>
    <w:multiLevelType w:val="hybridMultilevel"/>
    <w:tmpl w:val="2D0210A4"/>
    <w:lvl w:ilvl="0" w:tplc="5830C15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987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74"/>
    <w:rsid w:val="00011A2E"/>
    <w:rsid w:val="00022C64"/>
    <w:rsid w:val="0003560F"/>
    <w:rsid w:val="0007543F"/>
    <w:rsid w:val="000924AB"/>
    <w:rsid w:val="000C767D"/>
    <w:rsid w:val="000D11A8"/>
    <w:rsid w:val="000F0B22"/>
    <w:rsid w:val="00127C62"/>
    <w:rsid w:val="001439C4"/>
    <w:rsid w:val="00162902"/>
    <w:rsid w:val="001A1C4D"/>
    <w:rsid w:val="0020116C"/>
    <w:rsid w:val="00221074"/>
    <w:rsid w:val="002C7AFA"/>
    <w:rsid w:val="002F7CE7"/>
    <w:rsid w:val="003739DE"/>
    <w:rsid w:val="00375C2D"/>
    <w:rsid w:val="003D16D8"/>
    <w:rsid w:val="003D24BD"/>
    <w:rsid w:val="003E3750"/>
    <w:rsid w:val="0040055D"/>
    <w:rsid w:val="004028FC"/>
    <w:rsid w:val="0041341D"/>
    <w:rsid w:val="004219DE"/>
    <w:rsid w:val="004458A3"/>
    <w:rsid w:val="00464BAE"/>
    <w:rsid w:val="00500A87"/>
    <w:rsid w:val="005832C9"/>
    <w:rsid w:val="005C1517"/>
    <w:rsid w:val="00602ED8"/>
    <w:rsid w:val="00617B39"/>
    <w:rsid w:val="00631246"/>
    <w:rsid w:val="006707E3"/>
    <w:rsid w:val="006B11B9"/>
    <w:rsid w:val="006B4BDD"/>
    <w:rsid w:val="006E6C60"/>
    <w:rsid w:val="00713FFE"/>
    <w:rsid w:val="00755B28"/>
    <w:rsid w:val="00761AB7"/>
    <w:rsid w:val="0078346B"/>
    <w:rsid w:val="00784FA7"/>
    <w:rsid w:val="007A10CC"/>
    <w:rsid w:val="007D3AAF"/>
    <w:rsid w:val="008862B9"/>
    <w:rsid w:val="008908D3"/>
    <w:rsid w:val="008B266C"/>
    <w:rsid w:val="008D5D26"/>
    <w:rsid w:val="00901305"/>
    <w:rsid w:val="00905A6A"/>
    <w:rsid w:val="00952CE4"/>
    <w:rsid w:val="00990A71"/>
    <w:rsid w:val="009A593C"/>
    <w:rsid w:val="009E1F01"/>
    <w:rsid w:val="00A054CC"/>
    <w:rsid w:val="00A77561"/>
    <w:rsid w:val="00A831F5"/>
    <w:rsid w:val="00AE186F"/>
    <w:rsid w:val="00B1461D"/>
    <w:rsid w:val="00B40510"/>
    <w:rsid w:val="00B65A7A"/>
    <w:rsid w:val="00B710A5"/>
    <w:rsid w:val="00BB373F"/>
    <w:rsid w:val="00C2419A"/>
    <w:rsid w:val="00C7624B"/>
    <w:rsid w:val="00C904D8"/>
    <w:rsid w:val="00CB4141"/>
    <w:rsid w:val="00CE71CA"/>
    <w:rsid w:val="00D21FFA"/>
    <w:rsid w:val="00D82225"/>
    <w:rsid w:val="00D875AE"/>
    <w:rsid w:val="00DB1220"/>
    <w:rsid w:val="00DC33DE"/>
    <w:rsid w:val="00DC473D"/>
    <w:rsid w:val="00E05FBE"/>
    <w:rsid w:val="00E37D83"/>
    <w:rsid w:val="00E4036E"/>
    <w:rsid w:val="00E412D6"/>
    <w:rsid w:val="00E424E7"/>
    <w:rsid w:val="00EB3F1C"/>
    <w:rsid w:val="00EC4FCD"/>
    <w:rsid w:val="00F47D3A"/>
    <w:rsid w:val="00F651CB"/>
    <w:rsid w:val="00F90D30"/>
    <w:rsid w:val="00FA55E6"/>
    <w:rsid w:val="00FD20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149D2"/>
  <w15:chartTrackingRefBased/>
  <w15:docId w15:val="{EF145607-B9AD-9744-A88F-E375C442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74"/>
    <w:rPr>
      <w:rFonts w:ascii="Calibri" w:eastAsia="Calibri" w:hAnsi="Calibri" w:cs="Calibri"/>
      <w:kern w:val="0"/>
      <w:lang w:val="en-US" w:eastAsia="fr-FR"/>
      <w14:ligatures w14:val="none"/>
    </w:rPr>
  </w:style>
  <w:style w:type="paragraph" w:styleId="Heading1">
    <w:name w:val="heading 1"/>
    <w:basedOn w:val="Normal"/>
    <w:next w:val="Normal"/>
    <w:link w:val="Heading1Char"/>
    <w:uiPriority w:val="9"/>
    <w:qFormat/>
    <w:rsid w:val="00221074"/>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21074"/>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074"/>
    <w:rPr>
      <w:rFonts w:ascii="Calibri" w:eastAsia="Calibri" w:hAnsi="Calibri" w:cs="Calibri"/>
      <w:b/>
      <w:kern w:val="0"/>
      <w:sz w:val="48"/>
      <w:szCs w:val="48"/>
      <w:lang w:val="en-US" w:eastAsia="fr-FR"/>
      <w14:ligatures w14:val="none"/>
    </w:rPr>
  </w:style>
  <w:style w:type="character" w:customStyle="1" w:styleId="Heading2Char">
    <w:name w:val="Heading 2 Char"/>
    <w:basedOn w:val="DefaultParagraphFont"/>
    <w:link w:val="Heading2"/>
    <w:uiPriority w:val="9"/>
    <w:rsid w:val="00221074"/>
    <w:rPr>
      <w:rFonts w:ascii="Calibri" w:eastAsia="Calibri" w:hAnsi="Calibri" w:cs="Calibri"/>
      <w:b/>
      <w:kern w:val="0"/>
      <w:sz w:val="36"/>
      <w:szCs w:val="36"/>
      <w:lang w:val="en-US" w:eastAsia="fr-FR"/>
      <w14:ligatures w14:val="none"/>
    </w:rPr>
  </w:style>
  <w:style w:type="paragraph" w:styleId="ListParagraph">
    <w:name w:val="List Paragraph"/>
    <w:basedOn w:val="Normal"/>
    <w:uiPriority w:val="34"/>
    <w:qFormat/>
    <w:rsid w:val="00221074"/>
    <w:pPr>
      <w:ind w:left="720"/>
      <w:contextualSpacing/>
    </w:pPr>
  </w:style>
  <w:style w:type="table" w:styleId="TableGrid">
    <w:name w:val="Table Grid"/>
    <w:basedOn w:val="TableNormal"/>
    <w:uiPriority w:val="39"/>
    <w:rsid w:val="00221074"/>
    <w:rPr>
      <w:rFonts w:ascii="Calibri" w:eastAsia="Calibri" w:hAnsi="Calibri" w:cs="Calibri"/>
      <w:kern w:val="0"/>
      <w:sz w:val="22"/>
      <w:szCs w:val="22"/>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074"/>
    <w:pPr>
      <w:spacing w:before="100" w:beforeAutospacing="1" w:after="100" w:afterAutospacing="1"/>
    </w:pPr>
    <w:rPr>
      <w:rFonts w:ascii="Times New Roman" w:eastAsia="Times New Roman" w:hAnsi="Times New Roman" w:cs="Times New Roman"/>
      <w:lang w:val="it-IT" w:eastAsia="it-IT"/>
    </w:rPr>
  </w:style>
  <w:style w:type="character" w:styleId="Hyperlink">
    <w:name w:val="Hyperlink"/>
    <w:basedOn w:val="DefaultParagraphFont"/>
    <w:uiPriority w:val="99"/>
    <w:unhideWhenUsed/>
    <w:rsid w:val="00221074"/>
    <w:rPr>
      <w:color w:val="0000FF"/>
      <w:u w:val="single"/>
    </w:rPr>
  </w:style>
  <w:style w:type="paragraph" w:styleId="FootnoteText">
    <w:name w:val="footnote text"/>
    <w:basedOn w:val="Normal"/>
    <w:link w:val="FootnoteTextChar"/>
    <w:uiPriority w:val="99"/>
    <w:semiHidden/>
    <w:unhideWhenUsed/>
    <w:rsid w:val="00221074"/>
    <w:rPr>
      <w:sz w:val="20"/>
      <w:szCs w:val="20"/>
    </w:rPr>
  </w:style>
  <w:style w:type="character" w:customStyle="1" w:styleId="FootnoteTextChar">
    <w:name w:val="Footnote Text Char"/>
    <w:basedOn w:val="DefaultParagraphFont"/>
    <w:link w:val="FootnoteText"/>
    <w:uiPriority w:val="99"/>
    <w:semiHidden/>
    <w:rsid w:val="00221074"/>
    <w:rPr>
      <w:rFonts w:ascii="Calibri" w:eastAsia="Calibri" w:hAnsi="Calibri" w:cs="Calibri"/>
      <w:kern w:val="0"/>
      <w:sz w:val="20"/>
      <w:szCs w:val="20"/>
      <w:lang w:val="en-US" w:eastAsia="fr-FR"/>
      <w14:ligatures w14:val="none"/>
    </w:rPr>
  </w:style>
  <w:style w:type="character" w:styleId="FootnoteReference">
    <w:name w:val="footnote reference"/>
    <w:basedOn w:val="DefaultParagraphFont"/>
    <w:uiPriority w:val="99"/>
    <w:semiHidden/>
    <w:unhideWhenUsed/>
    <w:rsid w:val="00221074"/>
    <w:rPr>
      <w:vertAlign w:val="superscript"/>
    </w:rPr>
  </w:style>
  <w:style w:type="paragraph" w:customStyle="1" w:styleId="texte">
    <w:name w:val="texte"/>
    <w:basedOn w:val="Normal"/>
    <w:rsid w:val="00221074"/>
    <w:pPr>
      <w:spacing w:before="100" w:beforeAutospacing="1" w:after="100" w:afterAutospacing="1"/>
    </w:pPr>
    <w:rPr>
      <w:rFonts w:ascii="Times New Roman" w:eastAsia="Times New Roman" w:hAnsi="Times New Roman" w:cs="Times New Roman"/>
      <w:lang w:val="it-IT" w:eastAsia="it-IT"/>
    </w:rPr>
  </w:style>
  <w:style w:type="paragraph" w:styleId="Footer">
    <w:name w:val="footer"/>
    <w:basedOn w:val="Normal"/>
    <w:link w:val="FooterChar"/>
    <w:uiPriority w:val="99"/>
    <w:semiHidden/>
    <w:unhideWhenUsed/>
    <w:rsid w:val="00221074"/>
    <w:pPr>
      <w:tabs>
        <w:tab w:val="center" w:pos="4819"/>
        <w:tab w:val="right" w:pos="9638"/>
      </w:tabs>
    </w:pPr>
  </w:style>
  <w:style w:type="character" w:customStyle="1" w:styleId="FooterChar">
    <w:name w:val="Footer Char"/>
    <w:basedOn w:val="DefaultParagraphFont"/>
    <w:link w:val="Footer"/>
    <w:uiPriority w:val="99"/>
    <w:semiHidden/>
    <w:rsid w:val="00221074"/>
    <w:rPr>
      <w:rFonts w:ascii="Calibri" w:eastAsia="Calibri" w:hAnsi="Calibri" w:cs="Calibri"/>
      <w:kern w:val="0"/>
      <w:lang w:val="en-US" w:eastAsia="fr-FR"/>
      <w14:ligatures w14:val="none"/>
    </w:rPr>
  </w:style>
  <w:style w:type="character" w:styleId="PageNumber">
    <w:name w:val="page number"/>
    <w:basedOn w:val="DefaultParagraphFont"/>
    <w:uiPriority w:val="99"/>
    <w:semiHidden/>
    <w:unhideWhenUsed/>
    <w:rsid w:val="00221074"/>
  </w:style>
  <w:style w:type="paragraph" w:styleId="Revision">
    <w:name w:val="Revision"/>
    <w:hidden/>
    <w:uiPriority w:val="99"/>
    <w:semiHidden/>
    <w:rsid w:val="00A831F5"/>
    <w:rPr>
      <w:rFonts w:ascii="Calibri" w:eastAsia="Calibri" w:hAnsi="Calibri" w:cs="Calibri"/>
      <w:kern w:val="0"/>
      <w:lang w:val="en-US" w:eastAsia="fr-FR"/>
      <w14:ligatures w14:val="none"/>
    </w:rPr>
  </w:style>
  <w:style w:type="character" w:styleId="CommentReference">
    <w:name w:val="annotation reference"/>
    <w:basedOn w:val="DefaultParagraphFont"/>
    <w:uiPriority w:val="99"/>
    <w:semiHidden/>
    <w:unhideWhenUsed/>
    <w:rsid w:val="00A831F5"/>
    <w:rPr>
      <w:sz w:val="16"/>
      <w:szCs w:val="16"/>
    </w:rPr>
  </w:style>
  <w:style w:type="paragraph" w:styleId="CommentText">
    <w:name w:val="annotation text"/>
    <w:basedOn w:val="Normal"/>
    <w:link w:val="CommentTextChar"/>
    <w:uiPriority w:val="99"/>
    <w:semiHidden/>
    <w:unhideWhenUsed/>
    <w:rsid w:val="00A831F5"/>
    <w:rPr>
      <w:sz w:val="20"/>
      <w:szCs w:val="20"/>
    </w:rPr>
  </w:style>
  <w:style w:type="character" w:customStyle="1" w:styleId="CommentTextChar">
    <w:name w:val="Comment Text Char"/>
    <w:basedOn w:val="DefaultParagraphFont"/>
    <w:link w:val="CommentText"/>
    <w:uiPriority w:val="99"/>
    <w:semiHidden/>
    <w:rsid w:val="00A831F5"/>
    <w:rPr>
      <w:rFonts w:ascii="Calibri" w:eastAsia="Calibri" w:hAnsi="Calibri" w:cs="Calibri"/>
      <w:kern w:val="0"/>
      <w:sz w:val="20"/>
      <w:szCs w:val="20"/>
      <w:lang w:val="en-US" w:eastAsia="fr-FR"/>
      <w14:ligatures w14:val="none"/>
    </w:rPr>
  </w:style>
  <w:style w:type="paragraph" w:styleId="CommentSubject">
    <w:name w:val="annotation subject"/>
    <w:basedOn w:val="CommentText"/>
    <w:next w:val="CommentText"/>
    <w:link w:val="CommentSubjectChar"/>
    <w:uiPriority w:val="99"/>
    <w:semiHidden/>
    <w:unhideWhenUsed/>
    <w:rsid w:val="00A831F5"/>
    <w:rPr>
      <w:b/>
      <w:bCs/>
    </w:rPr>
  </w:style>
  <w:style w:type="character" w:customStyle="1" w:styleId="CommentSubjectChar">
    <w:name w:val="Comment Subject Char"/>
    <w:basedOn w:val="CommentTextChar"/>
    <w:link w:val="CommentSubject"/>
    <w:uiPriority w:val="99"/>
    <w:semiHidden/>
    <w:rsid w:val="00A831F5"/>
    <w:rPr>
      <w:rFonts w:ascii="Calibri" w:eastAsia="Calibri" w:hAnsi="Calibri" w:cs="Calibri"/>
      <w:b/>
      <w:bCs/>
      <w:kern w:val="0"/>
      <w:sz w:val="20"/>
      <w:szCs w:val="20"/>
      <w:lang w:val="en-US" w:eastAsia="fr-FR"/>
      <w14:ligatures w14:val="none"/>
    </w:rPr>
  </w:style>
  <w:style w:type="paragraph" w:customStyle="1" w:styleId="Footer1">
    <w:name w:val="Footer1"/>
    <w:basedOn w:val="Footer"/>
    <w:link w:val="footerChar0"/>
    <w:qFormat/>
    <w:rsid w:val="005C1517"/>
    <w:pPr>
      <w:tabs>
        <w:tab w:val="clear" w:pos="4819"/>
        <w:tab w:val="clear" w:pos="9638"/>
        <w:tab w:val="center" w:pos="4536"/>
        <w:tab w:val="right" w:pos="9072"/>
      </w:tabs>
      <w:ind w:left="-108"/>
      <w:jc w:val="both"/>
    </w:pPr>
    <w:rPr>
      <w:rFonts w:eastAsiaTheme="minorEastAsia"/>
      <w:sz w:val="18"/>
      <w:szCs w:val="22"/>
      <w:lang w:val="en-GB"/>
    </w:rPr>
  </w:style>
  <w:style w:type="character" w:customStyle="1" w:styleId="footerChar0">
    <w:name w:val="footer Char"/>
    <w:basedOn w:val="FooterChar"/>
    <w:link w:val="Footer1"/>
    <w:rsid w:val="005C1517"/>
    <w:rPr>
      <w:rFonts w:ascii="Calibri" w:eastAsiaTheme="minorEastAsia" w:hAnsi="Calibri" w:cs="Calibri"/>
      <w:kern w:val="0"/>
      <w:sz w:val="18"/>
      <w:szCs w:val="22"/>
      <w:lang w:val="en-GB" w:eastAsia="fr-FR"/>
      <w14:ligatures w14:val="none"/>
    </w:rPr>
  </w:style>
  <w:style w:type="paragraph" w:styleId="Header">
    <w:name w:val="header"/>
    <w:basedOn w:val="Normal"/>
    <w:link w:val="HeaderChar"/>
    <w:uiPriority w:val="99"/>
    <w:unhideWhenUsed/>
    <w:rsid w:val="005C1517"/>
    <w:pPr>
      <w:tabs>
        <w:tab w:val="center" w:pos="4680"/>
        <w:tab w:val="right" w:pos="9360"/>
      </w:tabs>
    </w:pPr>
    <w:rPr>
      <w:rFonts w:asciiTheme="minorHAnsi" w:eastAsiaTheme="minorEastAsia" w:hAnsiTheme="minorHAnsi" w:cs="Times New Roman"/>
      <w:sz w:val="22"/>
      <w:szCs w:val="22"/>
      <w:lang w:eastAsia="en-US"/>
    </w:rPr>
  </w:style>
  <w:style w:type="character" w:customStyle="1" w:styleId="HeaderChar">
    <w:name w:val="Header Char"/>
    <w:basedOn w:val="DefaultParagraphFont"/>
    <w:link w:val="Header"/>
    <w:uiPriority w:val="99"/>
    <w:rsid w:val="005C1517"/>
    <w:rPr>
      <w:rFonts w:eastAsiaTheme="minorEastAsia"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4000/alsic.636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ac.uk/reader/2285864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Gerber</dc:creator>
  <cp:keywords/>
  <dc:description/>
  <cp:lastModifiedBy>Billie Baltatzis</cp:lastModifiedBy>
  <cp:revision>2</cp:revision>
  <dcterms:created xsi:type="dcterms:W3CDTF">2023-10-23T10:28:00Z</dcterms:created>
  <dcterms:modified xsi:type="dcterms:W3CDTF">2023-10-23T10:28:00Z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9e2cbc8f79a98096665be1bcb299ebf931ed01218c8cc437dd4654ff36ffad38</vt:lpwstr>
  </property>
</Properties>
</file>